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EF88" w14:textId="46E62654" w:rsidR="00031EDE" w:rsidRDefault="00D873B8">
      <w:pPr>
        <w:spacing w:after="0" w:line="259" w:lineRule="auto"/>
        <w:ind w:left="0" w:firstLine="0"/>
        <w:jc w:val="left"/>
      </w:pPr>
      <w:proofErr w:type="spellStart"/>
      <w:r>
        <w:rPr>
          <w:color w:val="BF9000"/>
          <w:sz w:val="40"/>
        </w:rPr>
        <w:t>Gautų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asignavimų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ir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kasinių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išlaidų</w:t>
      </w:r>
      <w:proofErr w:type="spellEnd"/>
      <w:r>
        <w:rPr>
          <w:color w:val="BF9000"/>
          <w:sz w:val="40"/>
        </w:rPr>
        <w:t xml:space="preserve"> </w:t>
      </w:r>
      <w:proofErr w:type="spellStart"/>
      <w:r>
        <w:rPr>
          <w:color w:val="BF9000"/>
          <w:sz w:val="40"/>
        </w:rPr>
        <w:t>taisymai</w:t>
      </w:r>
      <w:proofErr w:type="spellEnd"/>
      <w:r>
        <w:rPr>
          <w:color w:val="BF9000"/>
          <w:sz w:val="40"/>
        </w:rPr>
        <w:t xml:space="preserve"> </w:t>
      </w:r>
    </w:p>
    <w:p w14:paraId="12AA3570" w14:textId="77777777" w:rsidR="00031EDE" w:rsidRDefault="00D873B8">
      <w:pPr>
        <w:spacing w:after="1121" w:line="259" w:lineRule="auto"/>
        <w:ind w:lef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22C9751" wp14:editId="23B5BECB">
                <wp:extent cx="5149342" cy="76200"/>
                <wp:effectExtent l="0" t="0" r="0" b="0"/>
                <wp:docPr id="3969" name="Group 3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342" cy="76200"/>
                          <a:chOff x="0" y="0"/>
                          <a:chExt cx="5149342" cy="76200"/>
                        </a:xfrm>
                      </wpg:grpSpPr>
                      <wps:wsp>
                        <wps:cNvPr id="4569" name="Shape 4569"/>
                        <wps:cNvSpPr/>
                        <wps:spPr>
                          <a:xfrm>
                            <a:off x="0" y="0"/>
                            <a:ext cx="514934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342" h="76200">
                                <a:moveTo>
                                  <a:pt x="0" y="0"/>
                                </a:moveTo>
                                <a:lnTo>
                                  <a:pt x="5149342" y="0"/>
                                </a:lnTo>
                                <a:lnTo>
                                  <a:pt x="514934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9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9" style="width:405.46pt;height:6pt;mso-position-horizontal-relative:char;mso-position-vertical-relative:line" coordsize="51493,762">
                <v:shape id="Shape 4570" style="position:absolute;width:51493;height:762;left:0;top:0;" coordsize="5149342,76200" path="m0,0l5149342,0l5149342,76200l0,76200l0,0">
                  <v:stroke weight="0pt" endcap="flat" joinstyle="miter" miterlimit="10" on="false" color="#000000" opacity="0"/>
                  <v:fill on="true" color="#bf9000"/>
                </v:shape>
              </v:group>
            </w:pict>
          </mc:Fallback>
        </mc:AlternateContent>
      </w:r>
    </w:p>
    <w:p w14:paraId="26D0B513" w14:textId="77777777" w:rsidR="00031EDE" w:rsidRDefault="00D873B8">
      <w:pPr>
        <w:spacing w:after="151"/>
        <w:ind w:left="675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operacijų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stornavimo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taisymus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neteisingai</w:t>
      </w:r>
      <w:proofErr w:type="spellEnd"/>
      <w:r>
        <w:t xml:space="preserve"> </w:t>
      </w:r>
      <w:proofErr w:type="spellStart"/>
      <w:r>
        <w:t>užregistruoti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asignavimai</w:t>
      </w:r>
      <w:proofErr w:type="spellEnd"/>
      <w:r>
        <w:t xml:space="preserve"> </w:t>
      </w:r>
      <w:proofErr w:type="spellStart"/>
      <w:r>
        <w:t>ir</w:t>
      </w:r>
      <w:proofErr w:type="spellEnd"/>
      <w:r>
        <w:t>/</w:t>
      </w:r>
      <w:proofErr w:type="spellStart"/>
      <w:r>
        <w:t>ar</w:t>
      </w:r>
      <w:proofErr w:type="spellEnd"/>
      <w:r>
        <w:t xml:space="preserve"> </w:t>
      </w:r>
      <w:proofErr w:type="spellStart"/>
      <w:r>
        <w:t>kasinės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.  </w:t>
      </w:r>
    </w:p>
    <w:p w14:paraId="2FBF53E6" w14:textId="77777777" w:rsidR="00031EDE" w:rsidRDefault="00D873B8">
      <w:pPr>
        <w:spacing w:after="200"/>
        <w:ind w:left="675"/>
      </w:pPr>
      <w:proofErr w:type="spellStart"/>
      <w:r>
        <w:t>Atvejai</w:t>
      </w:r>
      <w:proofErr w:type="spellEnd"/>
      <w:r>
        <w:t xml:space="preserve">, </w:t>
      </w:r>
      <w:proofErr w:type="spellStart"/>
      <w:r>
        <w:t>kuomet</w:t>
      </w:r>
      <w:proofErr w:type="spellEnd"/>
      <w:r>
        <w:t xml:space="preserve"> </w:t>
      </w:r>
      <w:proofErr w:type="spellStart"/>
      <w:r>
        <w:t>reikalingos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asignavimų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kasinių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taisymui</w:t>
      </w:r>
      <w:proofErr w:type="spellEnd"/>
      <w:r>
        <w:t xml:space="preserve">:  </w:t>
      </w:r>
    </w:p>
    <w:p w14:paraId="5A0268A8" w14:textId="77777777" w:rsidR="00031EDE" w:rsidRDefault="00D873B8">
      <w:pPr>
        <w:numPr>
          <w:ilvl w:val="0"/>
          <w:numId w:val="1"/>
        </w:numPr>
        <w:spacing w:after="55"/>
        <w:ind w:hanging="360"/>
      </w:pPr>
      <w:proofErr w:type="spellStart"/>
      <w:r>
        <w:t>Gautas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atliktas</w:t>
      </w:r>
      <w:proofErr w:type="spellEnd"/>
      <w:r>
        <w:t xml:space="preserve"> </w:t>
      </w:r>
      <w:proofErr w:type="spellStart"/>
      <w:r>
        <w:t>apmokėjimas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šaltinio</w:t>
      </w:r>
      <w:proofErr w:type="spellEnd"/>
      <w:r>
        <w:t xml:space="preserve">.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grąžinamos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gautas</w:t>
      </w:r>
      <w:proofErr w:type="spellEnd"/>
      <w:r>
        <w:t xml:space="preserve">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atliktas</w:t>
      </w:r>
      <w:proofErr w:type="spellEnd"/>
      <w:r>
        <w:t xml:space="preserve"> </w:t>
      </w:r>
      <w:proofErr w:type="spellStart"/>
      <w:r>
        <w:t>apmokėjimas</w:t>
      </w:r>
      <w:proofErr w:type="spellEnd"/>
      <w:r>
        <w:t xml:space="preserve">. </w:t>
      </w:r>
    </w:p>
    <w:p w14:paraId="2975E786" w14:textId="77777777" w:rsidR="00031EDE" w:rsidRDefault="00D873B8">
      <w:pPr>
        <w:numPr>
          <w:ilvl w:val="0"/>
          <w:numId w:val="1"/>
        </w:numPr>
        <w:spacing w:after="126"/>
        <w:ind w:hanging="360"/>
      </w:pPr>
      <w:proofErr w:type="spellStart"/>
      <w:r>
        <w:t>Darbo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, </w:t>
      </w:r>
      <w:proofErr w:type="spellStart"/>
      <w:r>
        <w:t>neteisingai</w:t>
      </w:r>
      <w:proofErr w:type="spellEnd"/>
      <w:r>
        <w:t xml:space="preserve"> </w:t>
      </w:r>
      <w:proofErr w:type="spellStart"/>
      <w:r>
        <w:t>detalizuotas</w:t>
      </w:r>
      <w:proofErr w:type="spellEnd"/>
      <w:r>
        <w:t xml:space="preserve"> </w:t>
      </w:r>
      <w:proofErr w:type="spellStart"/>
      <w:r>
        <w:t>priskaitymas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sąskaita</w:t>
      </w:r>
      <w:proofErr w:type="spellEnd"/>
      <w:r>
        <w:t xml:space="preserve">. </w:t>
      </w:r>
      <w:proofErr w:type="spellStart"/>
      <w:r>
        <w:t>Nepastebėjus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klaidos</w:t>
      </w:r>
      <w:proofErr w:type="spellEnd"/>
      <w:r>
        <w:t xml:space="preserve"> </w:t>
      </w:r>
      <w:proofErr w:type="spellStart"/>
      <w:r>
        <w:t>neteisingai</w:t>
      </w:r>
      <w:proofErr w:type="spellEnd"/>
      <w:r>
        <w:t xml:space="preserve">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paraiška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atliktas</w:t>
      </w:r>
      <w:proofErr w:type="spellEnd"/>
      <w:r>
        <w:t xml:space="preserve"> </w:t>
      </w:r>
      <w:proofErr w:type="spellStart"/>
      <w:r>
        <w:t>neteisingas</w:t>
      </w:r>
      <w:proofErr w:type="spellEnd"/>
      <w:r>
        <w:t xml:space="preserve"> </w:t>
      </w:r>
      <w:proofErr w:type="spellStart"/>
      <w:r>
        <w:t>apmokėjimas</w:t>
      </w:r>
      <w:proofErr w:type="spellEnd"/>
      <w:r>
        <w:t xml:space="preserve">. </w:t>
      </w:r>
    </w:p>
    <w:p w14:paraId="2B3FC823" w14:textId="77777777" w:rsidR="00031EDE" w:rsidRDefault="00D873B8">
      <w:pPr>
        <w:spacing w:after="346" w:line="259" w:lineRule="auto"/>
        <w:ind w:left="680" w:firstLine="0"/>
        <w:jc w:val="left"/>
      </w:pPr>
      <w:r>
        <w:t xml:space="preserve"> </w:t>
      </w:r>
    </w:p>
    <w:p w14:paraId="48EDB2FE" w14:textId="77777777" w:rsidR="00031EDE" w:rsidRDefault="00D873B8">
      <w:pPr>
        <w:pStyle w:val="Heading1"/>
        <w:ind w:left="1035"/>
      </w:pPr>
      <w:r>
        <w:t>1.1.</w:t>
      </w:r>
      <w:r>
        <w:rPr>
          <w:rFonts w:ascii="Arial" w:eastAsia="Arial" w:hAnsi="Arial" w:cs="Arial"/>
        </w:rPr>
        <w:t xml:space="preserve"> </w:t>
      </w:r>
      <w:proofErr w:type="spellStart"/>
      <w:r>
        <w:t>Įžanga</w:t>
      </w:r>
      <w:proofErr w:type="spellEnd"/>
      <w:r>
        <w:t xml:space="preserve"> </w:t>
      </w:r>
    </w:p>
    <w:p w14:paraId="61F890AA" w14:textId="77777777" w:rsidR="00031EDE" w:rsidRDefault="00D873B8">
      <w:pPr>
        <w:spacing w:after="151"/>
        <w:ind w:left="675"/>
      </w:pPr>
      <w:r>
        <w:t xml:space="preserve">Tam,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reikiami</w:t>
      </w:r>
      <w:proofErr w:type="spellEnd"/>
      <w:r>
        <w:t xml:space="preserve"> </w:t>
      </w:r>
      <w:proofErr w:type="spellStart"/>
      <w:r>
        <w:t>koregavimai</w:t>
      </w:r>
      <w:proofErr w:type="spellEnd"/>
      <w:r>
        <w:t xml:space="preserve">, </w:t>
      </w:r>
      <w:proofErr w:type="spellStart"/>
      <w:r>
        <w:t>reik</w:t>
      </w:r>
      <w:r>
        <w:t>ės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korekcines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. </w:t>
      </w:r>
    </w:p>
    <w:p w14:paraId="17D2B429" w14:textId="77777777" w:rsidR="00031EDE" w:rsidRDefault="00D873B8">
      <w:pPr>
        <w:spacing w:after="160" w:line="258" w:lineRule="auto"/>
        <w:ind w:left="675"/>
        <w:jc w:val="left"/>
      </w:pPr>
      <w:proofErr w:type="spellStart"/>
      <w:r>
        <w:t>Biudžeto</w:t>
      </w:r>
      <w:proofErr w:type="spellEnd"/>
      <w:r>
        <w:t xml:space="preserve"> </w:t>
      </w:r>
      <w:proofErr w:type="spellStart"/>
      <w:r>
        <w:t>panaudojimo</w:t>
      </w:r>
      <w:proofErr w:type="spellEnd"/>
      <w:r>
        <w:t xml:space="preserve"> </w:t>
      </w:r>
      <w:proofErr w:type="spellStart"/>
      <w:r>
        <w:t>koregavimas</w:t>
      </w:r>
      <w:proofErr w:type="spellEnd"/>
      <w:r>
        <w:t xml:space="preserve"> (</w:t>
      </w:r>
      <w:proofErr w:type="spellStart"/>
      <w:r>
        <w:t>atstatymas</w:t>
      </w:r>
      <w:proofErr w:type="spellEnd"/>
      <w:r>
        <w:t xml:space="preserve">) </w:t>
      </w:r>
      <w:proofErr w:type="spellStart"/>
      <w:r>
        <w:t>atliekamas</w:t>
      </w:r>
      <w:proofErr w:type="spellEnd"/>
      <w:r>
        <w:t xml:space="preserve"> per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, tai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daryti</w:t>
      </w:r>
      <w:proofErr w:type="spellEnd"/>
      <w:r>
        <w:t xml:space="preserve"> per </w:t>
      </w:r>
      <w:proofErr w:type="spellStart"/>
      <w:r>
        <w:t>vidinę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. </w:t>
      </w:r>
      <w:proofErr w:type="spellStart"/>
      <w:r>
        <w:t>Tuomet</w:t>
      </w:r>
      <w:proofErr w:type="spellEnd"/>
      <w:r>
        <w:t xml:space="preserve"> </w:t>
      </w:r>
      <w:proofErr w:type="spellStart"/>
      <w:r>
        <w:t>nebus</w:t>
      </w:r>
      <w:proofErr w:type="spellEnd"/>
      <w:r>
        <w:t xml:space="preserve"> </w:t>
      </w:r>
      <w:proofErr w:type="spellStart"/>
      <w:r>
        <w:t>padidinta</w:t>
      </w:r>
      <w:proofErr w:type="spellEnd"/>
      <w:r>
        <w:t xml:space="preserve"> </w:t>
      </w:r>
      <w:proofErr w:type="spellStart"/>
      <w:r>
        <w:t>tikrosios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apyvarta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neišsikraipys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judėjimo</w:t>
      </w:r>
      <w:proofErr w:type="spellEnd"/>
      <w:r>
        <w:t xml:space="preserve"> </w:t>
      </w:r>
      <w:proofErr w:type="spellStart"/>
      <w:r>
        <w:t>ataskaitose</w:t>
      </w:r>
      <w:proofErr w:type="spellEnd"/>
      <w:r>
        <w:rPr>
          <w:i/>
        </w:rPr>
        <w:t>.</w:t>
      </w:r>
      <w:r>
        <w:t xml:space="preserve"> </w:t>
      </w:r>
    </w:p>
    <w:p w14:paraId="095639AD" w14:textId="77777777" w:rsidR="00031EDE" w:rsidRDefault="00D873B8">
      <w:pPr>
        <w:spacing w:after="348" w:line="259" w:lineRule="auto"/>
        <w:ind w:left="680" w:firstLine="0"/>
        <w:jc w:val="left"/>
      </w:pPr>
      <w:r>
        <w:t xml:space="preserve"> </w:t>
      </w:r>
    </w:p>
    <w:p w14:paraId="4BEF5ED7" w14:textId="77777777" w:rsidR="00031EDE" w:rsidRDefault="00D873B8">
      <w:pPr>
        <w:pStyle w:val="Heading1"/>
        <w:spacing w:after="163"/>
        <w:ind w:left="1035"/>
      </w:pPr>
      <w:r>
        <w:t>1.2.</w:t>
      </w:r>
      <w:r>
        <w:rPr>
          <w:rFonts w:ascii="Arial" w:eastAsia="Arial" w:hAnsi="Arial" w:cs="Arial"/>
        </w:rPr>
        <w:t xml:space="preserve"> 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asignavimų</w:t>
      </w:r>
      <w:proofErr w:type="spellEnd"/>
      <w:r>
        <w:t xml:space="preserve"> </w:t>
      </w:r>
      <w:proofErr w:type="spellStart"/>
      <w:r>
        <w:t>atstatymas</w:t>
      </w:r>
      <w:proofErr w:type="spellEnd"/>
      <w:r>
        <w:t xml:space="preserve"> </w:t>
      </w:r>
    </w:p>
    <w:p w14:paraId="39163267" w14:textId="77777777" w:rsidR="00031EDE" w:rsidRDefault="00D873B8">
      <w:pPr>
        <w:numPr>
          <w:ilvl w:val="0"/>
          <w:numId w:val="2"/>
        </w:numPr>
        <w:spacing w:line="267" w:lineRule="auto"/>
        <w:ind w:hanging="360"/>
      </w:pPr>
      <w:proofErr w:type="spellStart"/>
      <w:r>
        <w:rPr>
          <w:b/>
        </w:rPr>
        <w:t>Registruokite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išeinančios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mokėjimo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paraiškos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gražinimą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netinkamos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sąmatos</w:t>
      </w:r>
      <w:proofErr w:type="spellEnd"/>
      <w:r>
        <w:rPr>
          <w:b/>
        </w:rPr>
        <w:t xml:space="preserve">.  </w:t>
      </w:r>
    </w:p>
    <w:p w14:paraId="23985A28" w14:textId="77777777" w:rsidR="00031EDE" w:rsidRDefault="00D873B8">
      <w:pPr>
        <w:ind w:left="1410"/>
      </w:pPr>
      <w:proofErr w:type="spellStart"/>
      <w:r>
        <w:t>Jei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gautas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tam </w:t>
      </w:r>
      <w:proofErr w:type="spellStart"/>
      <w:r>
        <w:t>tikro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šaltinio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norime</w:t>
      </w:r>
      <w:proofErr w:type="spellEnd"/>
      <w:r>
        <w:t xml:space="preserve"> </w:t>
      </w:r>
      <w:proofErr w:type="spellStart"/>
      <w:r>
        <w:t>sumažinti</w:t>
      </w:r>
      <w:proofErr w:type="spellEnd"/>
      <w:r>
        <w:t xml:space="preserve"> </w:t>
      </w:r>
      <w:proofErr w:type="spellStart"/>
      <w:r>
        <w:t>gautus</w:t>
      </w:r>
      <w:proofErr w:type="spellEnd"/>
      <w:r>
        <w:t xml:space="preserve"> </w:t>
      </w:r>
      <w:proofErr w:type="spellStart"/>
      <w:r>
        <w:t>asignavimus</w:t>
      </w:r>
      <w:proofErr w:type="spellEnd"/>
      <w:r>
        <w:t xml:space="preserve"> „</w:t>
      </w:r>
      <w:proofErr w:type="spellStart"/>
      <w:r>
        <w:t>Sąmatoje</w:t>
      </w:r>
      <w:proofErr w:type="spellEnd"/>
      <w:r>
        <w:t xml:space="preserve"> </w:t>
      </w:r>
      <w:proofErr w:type="gramStart"/>
      <w:r>
        <w:t>A“</w:t>
      </w:r>
      <w:proofErr w:type="gramEnd"/>
      <w:r>
        <w:t xml:space="preserve">, </w:t>
      </w:r>
      <w:proofErr w:type="spellStart"/>
      <w:r>
        <w:t>tuomet</w:t>
      </w:r>
      <w:proofErr w:type="spellEnd"/>
      <w:r>
        <w:t xml:space="preserve"> „</w:t>
      </w:r>
      <w:proofErr w:type="spellStart"/>
      <w:r>
        <w:t>Sąmatai</w:t>
      </w:r>
      <w:proofErr w:type="spellEnd"/>
      <w:r>
        <w:t xml:space="preserve"> A“ </w:t>
      </w:r>
      <w:proofErr w:type="spellStart"/>
      <w:r>
        <w:t>registruojama</w:t>
      </w:r>
      <w:proofErr w:type="spellEnd"/>
      <w:r>
        <w:t xml:space="preserve"> </w:t>
      </w:r>
      <w:proofErr w:type="spellStart"/>
      <w:r>
        <w:t>grąžinimo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paraiška</w:t>
      </w:r>
      <w:proofErr w:type="spellEnd"/>
      <w:r>
        <w:t xml:space="preserve"> </w:t>
      </w:r>
      <w:proofErr w:type="spellStart"/>
      <w:r>
        <w:t>nurodant</w:t>
      </w:r>
      <w:proofErr w:type="spellEnd"/>
      <w:r>
        <w:t xml:space="preserve"> </w:t>
      </w:r>
      <w:proofErr w:type="spellStart"/>
      <w:r>
        <w:t>tipą</w:t>
      </w:r>
      <w:proofErr w:type="spellEnd"/>
      <w:r>
        <w:t xml:space="preserve"> „</w:t>
      </w:r>
      <w:proofErr w:type="spellStart"/>
      <w:r>
        <w:t>Išeinančios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</w:t>
      </w:r>
      <w:proofErr w:type="spellStart"/>
      <w:r>
        <w:t>grąžinimas</w:t>
      </w:r>
      <w:proofErr w:type="spellEnd"/>
      <w:r>
        <w:t xml:space="preserve">“. </w:t>
      </w:r>
    </w:p>
    <w:p w14:paraId="26C787F9" w14:textId="77777777" w:rsidR="00031EDE" w:rsidRDefault="00D873B8">
      <w:pPr>
        <w:spacing w:after="50" w:line="259" w:lineRule="auto"/>
        <w:ind w:left="1400" w:firstLine="0"/>
        <w:jc w:val="left"/>
      </w:pPr>
      <w:r>
        <w:t xml:space="preserve"> </w:t>
      </w:r>
    </w:p>
    <w:p w14:paraId="4FB83452" w14:textId="77777777" w:rsidR="00031EDE" w:rsidRDefault="00D873B8">
      <w:pPr>
        <w:numPr>
          <w:ilvl w:val="0"/>
          <w:numId w:val="2"/>
        </w:numPr>
        <w:spacing w:line="267" w:lineRule="auto"/>
        <w:ind w:hanging="360"/>
      </w:pPr>
      <w:proofErr w:type="spellStart"/>
      <w:r>
        <w:rPr>
          <w:b/>
        </w:rPr>
        <w:t>Registruokite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išmokėjimo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gražinimo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operaciją</w:t>
      </w:r>
      <w:proofErr w:type="spellEnd"/>
      <w:r>
        <w:rPr>
          <w:b/>
        </w:rPr>
        <w:t xml:space="preserve">. </w:t>
      </w:r>
    </w:p>
    <w:p w14:paraId="68BC17F6" w14:textId="004B2496" w:rsidR="00031EDE" w:rsidRDefault="00D873B8">
      <w:pPr>
        <w:ind w:left="1410"/>
      </w:pPr>
      <w:proofErr w:type="spellStart"/>
      <w:r>
        <w:t>Modul</w:t>
      </w:r>
      <w:r>
        <w:t>yje</w:t>
      </w:r>
      <w:proofErr w:type="spellEnd"/>
      <w:r>
        <w:t xml:space="preserve"> </w:t>
      </w:r>
      <w:proofErr w:type="spellStart"/>
      <w:r>
        <w:rPr>
          <w:i/>
        </w:rPr>
        <w:t>Mokėjimai</w:t>
      </w:r>
      <w:proofErr w:type="spellEnd"/>
      <w:r w:rsidR="00FD4965">
        <w:rPr>
          <w:rFonts w:ascii="Segoe UI Symbol" w:eastAsia="Segoe UI Symbol" w:hAnsi="Segoe UI Symbol" w:cs="Segoe UI Symbol"/>
          <w:sz w:val="23"/>
        </w:rPr>
        <w:t>-&gt;</w:t>
      </w:r>
      <w:proofErr w:type="spellStart"/>
      <w:r>
        <w:rPr>
          <w:i/>
        </w:rPr>
        <w:t>Banko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sąskaitos</w:t>
      </w:r>
      <w:proofErr w:type="spellEnd"/>
      <w:r>
        <w:rPr>
          <w:i/>
        </w:rPr>
        <w:t>/</w:t>
      </w:r>
      <w:proofErr w:type="spellStart"/>
      <w:r>
        <w:rPr>
          <w:i/>
        </w:rPr>
        <w:t>kasos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registruokite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išmokėjimo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 </w:t>
      </w:r>
      <w:proofErr w:type="spellStart"/>
      <w:r>
        <w:t>nurodant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paskirtį</w:t>
      </w:r>
      <w:proofErr w:type="spellEnd"/>
      <w:r>
        <w:t xml:space="preserve"> „</w:t>
      </w:r>
      <w:proofErr w:type="spellStart"/>
      <w:r>
        <w:t>Grąžinimas</w:t>
      </w:r>
      <w:proofErr w:type="spellEnd"/>
      <w:r>
        <w:t xml:space="preserve"> </w:t>
      </w:r>
      <w:proofErr w:type="spellStart"/>
      <w:proofErr w:type="gramStart"/>
      <w:r>
        <w:t>Partneris</w:t>
      </w:r>
      <w:proofErr w:type="spellEnd"/>
      <w:r>
        <w:t>“</w:t>
      </w:r>
      <w:proofErr w:type="gramEnd"/>
      <w:r>
        <w:t xml:space="preserve">. </w:t>
      </w:r>
      <w:proofErr w:type="spellStart"/>
      <w:r>
        <w:t>Pagrindo</w:t>
      </w:r>
      <w:proofErr w:type="spellEnd"/>
      <w:r>
        <w:t xml:space="preserve"> </w:t>
      </w:r>
      <w:proofErr w:type="spellStart"/>
      <w:r>
        <w:t>dokumentuose</w:t>
      </w:r>
      <w:proofErr w:type="spellEnd"/>
      <w:r>
        <w:t xml:space="preserve"> </w:t>
      </w:r>
      <w:proofErr w:type="spellStart"/>
      <w:r>
        <w:t>pridėkite</w:t>
      </w:r>
      <w:proofErr w:type="spellEnd"/>
      <w:r>
        <w:t xml:space="preserve"> </w:t>
      </w:r>
      <w:proofErr w:type="spellStart"/>
      <w:r>
        <w:t>grąžinimo</w:t>
      </w:r>
      <w:proofErr w:type="spellEnd"/>
      <w:r>
        <w:t xml:space="preserve"> </w:t>
      </w:r>
      <w:proofErr w:type="spellStart"/>
      <w:r>
        <w:t>paraišką</w:t>
      </w:r>
      <w:proofErr w:type="spellEnd"/>
      <w:r>
        <w:t xml:space="preserve">, </w:t>
      </w:r>
      <w:proofErr w:type="spellStart"/>
      <w:r>
        <w:t>spauskite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[</w:t>
      </w:r>
      <w:proofErr w:type="spellStart"/>
      <w:r>
        <w:t>Atnaujinti</w:t>
      </w:r>
      <w:proofErr w:type="spellEnd"/>
      <w:r>
        <w:t xml:space="preserve"> </w:t>
      </w:r>
      <w:proofErr w:type="spellStart"/>
      <w:r>
        <w:t>pagrindinės</w:t>
      </w:r>
      <w:proofErr w:type="spellEnd"/>
      <w:r>
        <w:t xml:space="preserve"> </w:t>
      </w:r>
      <w:proofErr w:type="spellStart"/>
      <w:r>
        <w:t>informacijo</w:t>
      </w:r>
      <w:r>
        <w:t>s</w:t>
      </w:r>
      <w:proofErr w:type="spellEnd"/>
      <w:r>
        <w:t xml:space="preserve"> </w:t>
      </w:r>
      <w:proofErr w:type="spellStart"/>
      <w:r>
        <w:t>laukus</w:t>
      </w:r>
      <w:proofErr w:type="spellEnd"/>
      <w:r>
        <w:t xml:space="preserve">], </w:t>
      </w:r>
      <w:proofErr w:type="spellStart"/>
      <w:r>
        <w:t>patvirtinkite</w:t>
      </w:r>
      <w:proofErr w:type="spellEnd"/>
      <w:r>
        <w:t xml:space="preserve"> </w:t>
      </w:r>
      <w:proofErr w:type="spellStart"/>
      <w:r>
        <w:t>išmokėjimą</w:t>
      </w:r>
      <w:proofErr w:type="spellEnd"/>
      <w:r>
        <w:t xml:space="preserve">. </w:t>
      </w:r>
    </w:p>
    <w:p w14:paraId="12F020F8" w14:textId="77777777" w:rsidR="00031EDE" w:rsidRDefault="00D873B8">
      <w:pPr>
        <w:spacing w:after="50" w:line="259" w:lineRule="auto"/>
        <w:ind w:left="1400" w:firstLine="0"/>
        <w:jc w:val="left"/>
      </w:pPr>
      <w:r>
        <w:t xml:space="preserve"> </w:t>
      </w:r>
    </w:p>
    <w:p w14:paraId="212D9373" w14:textId="77777777" w:rsidR="00031EDE" w:rsidRDefault="00D873B8">
      <w:pPr>
        <w:numPr>
          <w:ilvl w:val="0"/>
          <w:numId w:val="2"/>
        </w:numPr>
        <w:spacing w:line="267" w:lineRule="auto"/>
        <w:ind w:hanging="360"/>
      </w:pPr>
      <w:proofErr w:type="spellStart"/>
      <w:r>
        <w:rPr>
          <w:b/>
        </w:rPr>
        <w:t>Registruokite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mokėjimo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paraišką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tinkamai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sąmatai</w:t>
      </w:r>
      <w:proofErr w:type="spellEnd"/>
      <w:r>
        <w:rPr>
          <w:b/>
        </w:rPr>
        <w:t xml:space="preserve"> </w:t>
      </w:r>
    </w:p>
    <w:p w14:paraId="6C7E75F2" w14:textId="77777777" w:rsidR="00031EDE" w:rsidRDefault="00D873B8">
      <w:pPr>
        <w:ind w:left="1410"/>
      </w:pPr>
      <w:r>
        <w:t xml:space="preserve">Tam,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padidinti</w:t>
      </w:r>
      <w:proofErr w:type="spellEnd"/>
      <w:r>
        <w:t xml:space="preserve"> </w:t>
      </w:r>
      <w:proofErr w:type="spellStart"/>
      <w:r>
        <w:t>gautus</w:t>
      </w:r>
      <w:proofErr w:type="spellEnd"/>
      <w:r>
        <w:t xml:space="preserve"> </w:t>
      </w:r>
      <w:proofErr w:type="spellStart"/>
      <w:r>
        <w:t>asignavimus</w:t>
      </w:r>
      <w:proofErr w:type="spellEnd"/>
      <w:r>
        <w:t xml:space="preserve"> „</w:t>
      </w:r>
      <w:proofErr w:type="spellStart"/>
      <w:r>
        <w:t>Sąmatai</w:t>
      </w:r>
      <w:proofErr w:type="spellEnd"/>
      <w:r>
        <w:t xml:space="preserve"> </w:t>
      </w:r>
      <w:proofErr w:type="gramStart"/>
      <w:r>
        <w:t>B“</w:t>
      </w:r>
      <w:proofErr w:type="gramEnd"/>
      <w:r>
        <w:t xml:space="preserve">, </w:t>
      </w:r>
      <w:proofErr w:type="spellStart"/>
      <w:r>
        <w:t>registruokite</w:t>
      </w:r>
      <w:proofErr w:type="spellEnd"/>
      <w:r>
        <w:t xml:space="preserve"> </w:t>
      </w:r>
      <w:proofErr w:type="spellStart"/>
      <w:r>
        <w:t>įprastinę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paraišką</w:t>
      </w:r>
      <w:proofErr w:type="spellEnd"/>
      <w:r>
        <w:t xml:space="preserve"> </w:t>
      </w:r>
      <w:proofErr w:type="spellStart"/>
      <w:r>
        <w:t>nurodydami</w:t>
      </w:r>
      <w:proofErr w:type="spellEnd"/>
      <w:r>
        <w:t xml:space="preserve"> </w:t>
      </w:r>
      <w:proofErr w:type="spellStart"/>
      <w:r>
        <w:t>tipą</w:t>
      </w:r>
      <w:proofErr w:type="spellEnd"/>
      <w:r>
        <w:t xml:space="preserve"> „</w:t>
      </w:r>
      <w:proofErr w:type="spellStart"/>
      <w:r>
        <w:t>Išeinanti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paraiška</w:t>
      </w:r>
      <w:proofErr w:type="spellEnd"/>
      <w:r>
        <w:t xml:space="preserve">“. </w:t>
      </w:r>
      <w:proofErr w:type="spellStart"/>
      <w:r>
        <w:t>Varnelė</w:t>
      </w:r>
      <w:proofErr w:type="spellEnd"/>
      <w:r>
        <w:t xml:space="preserve"> „</w:t>
      </w:r>
      <w:proofErr w:type="spellStart"/>
      <w:proofErr w:type="gramStart"/>
      <w:r>
        <w:t>Išankstinė</w:t>
      </w:r>
      <w:proofErr w:type="spellEnd"/>
      <w:r>
        <w:t xml:space="preserve">“ </w:t>
      </w:r>
      <w:proofErr w:type="spellStart"/>
      <w:r>
        <w:t>turi</w:t>
      </w:r>
      <w:proofErr w:type="spellEnd"/>
      <w:proofErr w:type="gram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uždėta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tuomet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ankstesnė</w:t>
      </w:r>
      <w:proofErr w:type="spellEnd"/>
      <w:r>
        <w:t xml:space="preserve"> </w:t>
      </w:r>
      <w:proofErr w:type="spellStart"/>
      <w:r>
        <w:t>paraiška</w:t>
      </w:r>
      <w:proofErr w:type="spellEnd"/>
      <w:r>
        <w:t xml:space="preserve"> (</w:t>
      </w:r>
      <w:proofErr w:type="spellStart"/>
      <w:r>
        <w:t>pagal</w:t>
      </w:r>
      <w:proofErr w:type="spellEnd"/>
      <w:r>
        <w:t xml:space="preserve"> „</w:t>
      </w:r>
      <w:proofErr w:type="spellStart"/>
      <w:r>
        <w:t>sąmatą</w:t>
      </w:r>
      <w:proofErr w:type="spellEnd"/>
      <w:r>
        <w:t xml:space="preserve"> A“)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registruojama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„</w:t>
      </w:r>
      <w:proofErr w:type="spellStart"/>
      <w:r>
        <w:t>Išankstinė</w:t>
      </w:r>
      <w:proofErr w:type="spellEnd"/>
      <w:r>
        <w:t xml:space="preserve">“. </w:t>
      </w:r>
      <w:proofErr w:type="spellStart"/>
      <w:r>
        <w:t>Visais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ankstesnė</w:t>
      </w:r>
      <w:proofErr w:type="spellEnd"/>
      <w:r>
        <w:t xml:space="preserve"> </w:t>
      </w:r>
      <w:proofErr w:type="spellStart"/>
      <w:r>
        <w:t>paraiška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generuojama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skolos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DU </w:t>
      </w:r>
      <w:proofErr w:type="spellStart"/>
      <w:r>
        <w:t>sumų</w:t>
      </w:r>
      <w:proofErr w:type="spellEnd"/>
      <w:r>
        <w:t xml:space="preserve">, – </w:t>
      </w:r>
      <w:proofErr w:type="spellStart"/>
      <w:r>
        <w:t>varnelė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nuimama</w:t>
      </w:r>
      <w:proofErr w:type="spellEnd"/>
      <w:r>
        <w:t xml:space="preserve">, </w:t>
      </w:r>
      <w:proofErr w:type="spellStart"/>
      <w:r>
        <w:t>t.y</w:t>
      </w:r>
      <w:proofErr w:type="spellEnd"/>
      <w:r>
        <w:t xml:space="preserve">. NE </w:t>
      </w:r>
      <w:proofErr w:type="spellStart"/>
      <w:r>
        <w:t>išanksti</w:t>
      </w:r>
      <w:r>
        <w:t>nė</w:t>
      </w:r>
      <w:proofErr w:type="spellEnd"/>
      <w:r>
        <w:t xml:space="preserve">. </w:t>
      </w:r>
    </w:p>
    <w:p w14:paraId="4A7FB694" w14:textId="77777777" w:rsidR="00031EDE" w:rsidRDefault="00D873B8">
      <w:pPr>
        <w:spacing w:after="0" w:line="259" w:lineRule="auto"/>
        <w:ind w:left="1400" w:firstLine="0"/>
        <w:jc w:val="left"/>
      </w:pPr>
      <w:r>
        <w:lastRenderedPageBreak/>
        <w:t xml:space="preserve"> </w:t>
      </w:r>
    </w:p>
    <w:p w14:paraId="208C3ABD" w14:textId="77777777" w:rsidR="00031EDE" w:rsidRDefault="00D873B8">
      <w:pPr>
        <w:numPr>
          <w:ilvl w:val="0"/>
          <w:numId w:val="2"/>
        </w:numPr>
        <w:spacing w:line="267" w:lineRule="auto"/>
        <w:ind w:hanging="360"/>
      </w:pPr>
      <w:proofErr w:type="spellStart"/>
      <w:r>
        <w:rPr>
          <w:b/>
        </w:rPr>
        <w:t>Registruokite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gavimo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operaciją</w:t>
      </w:r>
      <w:proofErr w:type="spellEnd"/>
      <w:r>
        <w:rPr>
          <w:b/>
        </w:rPr>
        <w:t xml:space="preserve">. </w:t>
      </w:r>
    </w:p>
    <w:p w14:paraId="3EB61883" w14:textId="77777777" w:rsidR="00031EDE" w:rsidRDefault="00D873B8">
      <w:pPr>
        <w:spacing w:after="129"/>
        <w:ind w:left="1410"/>
      </w:pPr>
      <w:proofErr w:type="spellStart"/>
      <w:r>
        <w:t>Pateiktai</w:t>
      </w:r>
      <w:proofErr w:type="spellEnd"/>
      <w:r>
        <w:t xml:space="preserve"> „</w:t>
      </w:r>
      <w:proofErr w:type="spellStart"/>
      <w:r>
        <w:t>Išeinančiai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proofErr w:type="gramStart"/>
      <w:r>
        <w:t>paraiškai</w:t>
      </w:r>
      <w:proofErr w:type="spellEnd"/>
      <w:r>
        <w:t xml:space="preserve">“ </w:t>
      </w:r>
      <w:proofErr w:type="spellStart"/>
      <w:r>
        <w:t>registruokite</w:t>
      </w:r>
      <w:proofErr w:type="spellEnd"/>
      <w:proofErr w:type="gram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gavimą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Mokėjimai</w:t>
      </w:r>
      <w:r>
        <w:rPr>
          <w:rFonts w:ascii="Segoe UI Symbol" w:eastAsia="Segoe UI Symbol" w:hAnsi="Segoe UI Symbol" w:cs="Segoe UI Symbol"/>
          <w:sz w:val="23"/>
        </w:rPr>
        <w:t></w:t>
      </w:r>
      <w:r>
        <w:rPr>
          <w:i/>
        </w:rPr>
        <w:t>banko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sąskaitos</w:t>
      </w:r>
      <w:proofErr w:type="spellEnd"/>
      <w:r>
        <w:rPr>
          <w:i/>
        </w:rPr>
        <w:t>/</w:t>
      </w:r>
      <w:proofErr w:type="spellStart"/>
      <w:r>
        <w:rPr>
          <w:i/>
        </w:rPr>
        <w:t>kasos</w:t>
      </w:r>
      <w:proofErr w:type="spellEnd"/>
      <w:r>
        <w:t xml:space="preserve"> </w:t>
      </w:r>
      <w:proofErr w:type="spellStart"/>
      <w:r>
        <w:t>vidinėje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sąskaitoje</w:t>
      </w:r>
      <w:proofErr w:type="spellEnd"/>
      <w:r>
        <w:t xml:space="preserve">.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paskirtyje</w:t>
      </w:r>
      <w:proofErr w:type="spellEnd"/>
      <w:r>
        <w:t xml:space="preserve"> </w:t>
      </w:r>
      <w:proofErr w:type="spellStart"/>
      <w:r>
        <w:t>pasirinkite</w:t>
      </w:r>
      <w:proofErr w:type="spellEnd"/>
      <w:r>
        <w:t xml:space="preserve"> „</w:t>
      </w:r>
      <w:proofErr w:type="spellStart"/>
      <w:proofErr w:type="gramStart"/>
      <w:r>
        <w:t>Partneris</w:t>
      </w:r>
      <w:proofErr w:type="spellEnd"/>
      <w:r>
        <w:t>“</w:t>
      </w:r>
      <w:proofErr w:type="gramEnd"/>
      <w:r>
        <w:t xml:space="preserve">. </w:t>
      </w:r>
      <w:proofErr w:type="spellStart"/>
      <w:r>
        <w:t>Pagrindo</w:t>
      </w:r>
      <w:proofErr w:type="spellEnd"/>
      <w:r>
        <w:t xml:space="preserve"> </w:t>
      </w:r>
      <w:proofErr w:type="spellStart"/>
      <w:r>
        <w:t>dokum</w:t>
      </w:r>
      <w:r>
        <w:t>entuose</w:t>
      </w:r>
      <w:proofErr w:type="spellEnd"/>
      <w:r>
        <w:t xml:space="preserve"> </w:t>
      </w:r>
      <w:proofErr w:type="spellStart"/>
      <w:r>
        <w:t>pridėkite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paraišką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spauskite</w:t>
      </w:r>
      <w:proofErr w:type="spellEnd"/>
      <w:r>
        <w:t xml:space="preserve"> </w:t>
      </w:r>
      <w:proofErr w:type="spellStart"/>
      <w:r>
        <w:t>mygtuką</w:t>
      </w:r>
      <w:proofErr w:type="spellEnd"/>
      <w:r>
        <w:t xml:space="preserve"> [</w:t>
      </w:r>
      <w:proofErr w:type="spellStart"/>
      <w:r>
        <w:t>Atnaujinti</w:t>
      </w:r>
      <w:proofErr w:type="spellEnd"/>
      <w:r>
        <w:t xml:space="preserve"> </w:t>
      </w:r>
      <w:proofErr w:type="spellStart"/>
      <w:r>
        <w:t>pagrindinės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laukus</w:t>
      </w:r>
      <w:proofErr w:type="spellEnd"/>
      <w:r>
        <w:t xml:space="preserve">], </w:t>
      </w:r>
      <w:proofErr w:type="spellStart"/>
      <w:r>
        <w:t>patvirtinkite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gavimą</w:t>
      </w:r>
      <w:proofErr w:type="spellEnd"/>
      <w:r>
        <w:t xml:space="preserve">. </w:t>
      </w:r>
    </w:p>
    <w:p w14:paraId="6AD727BD" w14:textId="77777777" w:rsidR="00031EDE" w:rsidRDefault="00D873B8">
      <w:pPr>
        <w:spacing w:after="348" w:line="259" w:lineRule="auto"/>
        <w:ind w:left="680" w:firstLine="0"/>
        <w:jc w:val="left"/>
      </w:pPr>
      <w:r>
        <w:t xml:space="preserve"> </w:t>
      </w:r>
    </w:p>
    <w:p w14:paraId="5B1C68CE" w14:textId="77777777" w:rsidR="00031EDE" w:rsidRDefault="00D873B8">
      <w:pPr>
        <w:pStyle w:val="Heading1"/>
        <w:ind w:left="1035"/>
      </w:pPr>
      <w:r>
        <w:t>1.3.</w:t>
      </w:r>
      <w:r>
        <w:rPr>
          <w:rFonts w:ascii="Arial" w:eastAsia="Arial" w:hAnsi="Arial" w:cs="Arial"/>
        </w:rPr>
        <w:t xml:space="preserve"> </w:t>
      </w:r>
      <w:proofErr w:type="spellStart"/>
      <w:r>
        <w:t>Kasinių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atstatymas</w:t>
      </w:r>
      <w:proofErr w:type="spellEnd"/>
      <w:r>
        <w:t xml:space="preserve"> </w:t>
      </w:r>
    </w:p>
    <w:p w14:paraId="6BED9D72" w14:textId="77777777" w:rsidR="00031EDE" w:rsidRDefault="00D873B8">
      <w:pPr>
        <w:spacing w:after="154"/>
        <w:ind w:left="675"/>
      </w:pPr>
      <w:proofErr w:type="spellStart"/>
      <w:r>
        <w:t>Registruojant</w:t>
      </w:r>
      <w:proofErr w:type="spellEnd"/>
      <w:r>
        <w:t xml:space="preserve"> </w:t>
      </w:r>
      <w:proofErr w:type="spellStart"/>
      <w:r>
        <w:t>kasinių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atstatymus</w:t>
      </w:r>
      <w:proofErr w:type="spellEnd"/>
      <w:r>
        <w:t xml:space="preserve"> </w:t>
      </w:r>
      <w:proofErr w:type="spellStart"/>
      <w:r>
        <w:t>mokėjimuose</w:t>
      </w:r>
      <w:proofErr w:type="spellEnd"/>
      <w:r>
        <w:t xml:space="preserve"> </w:t>
      </w:r>
      <w:proofErr w:type="spellStart"/>
      <w:r>
        <w:t>pagrindo</w:t>
      </w:r>
      <w:proofErr w:type="spellEnd"/>
      <w:r>
        <w:t xml:space="preserve"> </w:t>
      </w:r>
      <w:proofErr w:type="spellStart"/>
      <w:r>
        <w:t>dokumentai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nepridedami</w:t>
      </w:r>
      <w:proofErr w:type="spellEnd"/>
      <w:r>
        <w:t xml:space="preserve">, </w:t>
      </w:r>
      <w:proofErr w:type="spellStart"/>
      <w:r>
        <w:t>šiuos</w:t>
      </w:r>
      <w:proofErr w:type="spellEnd"/>
      <w:r>
        <w:t xml:space="preserve"> </w:t>
      </w:r>
      <w:proofErr w:type="spellStart"/>
      <w:r>
        <w:t>mokėjimus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detalizuoti</w:t>
      </w:r>
      <w:proofErr w:type="spellEnd"/>
      <w:r>
        <w:t xml:space="preserve"> </w:t>
      </w:r>
      <w:proofErr w:type="spellStart"/>
      <w:r>
        <w:t>rankiniu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.  </w:t>
      </w:r>
    </w:p>
    <w:p w14:paraId="15BE0CDC" w14:textId="77777777" w:rsidR="00031EDE" w:rsidRDefault="00D873B8">
      <w:pPr>
        <w:spacing w:after="160" w:line="258" w:lineRule="auto"/>
        <w:ind w:left="675"/>
        <w:jc w:val="left"/>
      </w:pPr>
      <w:proofErr w:type="spellStart"/>
      <w:r>
        <w:t>Sumų</w:t>
      </w:r>
      <w:proofErr w:type="spellEnd"/>
      <w:r>
        <w:t xml:space="preserve"> </w:t>
      </w:r>
      <w:proofErr w:type="spellStart"/>
      <w:r>
        <w:t>detalizacijų</w:t>
      </w:r>
      <w:proofErr w:type="spellEnd"/>
      <w:r>
        <w:t xml:space="preserve"> </w:t>
      </w:r>
      <w:proofErr w:type="spellStart"/>
      <w:r>
        <w:t>pridėjimui</w:t>
      </w:r>
      <w:proofErr w:type="spellEnd"/>
      <w:r>
        <w:t xml:space="preserve"> </w:t>
      </w:r>
      <w:proofErr w:type="spellStart"/>
      <w:r>
        <w:t>naudokite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 – </w:t>
      </w:r>
      <w:proofErr w:type="spellStart"/>
      <w:r>
        <w:rPr>
          <w:i/>
        </w:rPr>
        <w:t>Paskyrimas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biudžetui</w:t>
      </w:r>
      <w:proofErr w:type="spellEnd"/>
      <w:r>
        <w:t xml:space="preserve">. </w:t>
      </w:r>
      <w:proofErr w:type="spellStart"/>
      <w:r>
        <w:t>Atstatant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 xml:space="preserve">, </w:t>
      </w:r>
      <w:proofErr w:type="spellStart"/>
      <w:r>
        <w:t>sumų</w:t>
      </w:r>
      <w:proofErr w:type="spellEnd"/>
      <w:r>
        <w:t xml:space="preserve"> </w:t>
      </w:r>
      <w:proofErr w:type="spellStart"/>
      <w:r>
        <w:t>detalizacijose</w:t>
      </w:r>
      <w:proofErr w:type="spellEnd"/>
      <w:r>
        <w:t xml:space="preserve"> </w:t>
      </w:r>
      <w:proofErr w:type="spellStart"/>
      <w:r>
        <w:t>papildomai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pridėti</w:t>
      </w:r>
      <w:proofErr w:type="spellEnd"/>
      <w:r>
        <w:t xml:space="preserve"> </w:t>
      </w:r>
      <w:proofErr w:type="spellStart"/>
      <w:r>
        <w:t>atitinkamą</w:t>
      </w:r>
      <w:proofErr w:type="spellEnd"/>
      <w:r>
        <w:t xml:space="preserve"> </w:t>
      </w:r>
      <w:proofErr w:type="spellStart"/>
      <w:r>
        <w:t>priskait</w:t>
      </w:r>
      <w:r>
        <w:t>ymo</w:t>
      </w:r>
      <w:proofErr w:type="spellEnd"/>
      <w:r>
        <w:t>/</w:t>
      </w:r>
      <w:proofErr w:type="spellStart"/>
      <w:r>
        <w:t>atskaitymo</w:t>
      </w:r>
      <w:proofErr w:type="spellEnd"/>
      <w:r>
        <w:t xml:space="preserve"> </w:t>
      </w:r>
      <w:proofErr w:type="spellStart"/>
      <w:r>
        <w:t>detalizaciją</w:t>
      </w:r>
      <w:proofErr w:type="spellEnd"/>
      <w:r>
        <w:t xml:space="preserve">.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 –„</w:t>
      </w:r>
      <w:proofErr w:type="spellStart"/>
      <w:proofErr w:type="gramStart"/>
      <w:r>
        <w:t>Išmokėjimas</w:t>
      </w:r>
      <w:proofErr w:type="spellEnd"/>
      <w:r>
        <w:t>“</w:t>
      </w:r>
      <w:proofErr w:type="gramEnd"/>
      <w:r>
        <w:t xml:space="preserve">, 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inspekcijai</w:t>
      </w:r>
      <w:proofErr w:type="spellEnd"/>
      <w:r>
        <w:t xml:space="preserve"> – „</w:t>
      </w:r>
      <w:proofErr w:type="spellStart"/>
      <w:r>
        <w:t>Gyventojų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</w:t>
      </w:r>
      <w:proofErr w:type="spellStart"/>
      <w:r>
        <w:t>mokestis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pan. </w:t>
      </w:r>
    </w:p>
    <w:p w14:paraId="370023DF" w14:textId="77777777" w:rsidR="00031EDE" w:rsidRDefault="00D873B8">
      <w:pPr>
        <w:spacing w:after="185"/>
        <w:ind w:left="675"/>
      </w:pPr>
      <w:proofErr w:type="spellStart"/>
      <w:r>
        <w:t>Veiksmų</w:t>
      </w:r>
      <w:proofErr w:type="spellEnd"/>
      <w:r>
        <w:t xml:space="preserve"> </w:t>
      </w:r>
      <w:proofErr w:type="spellStart"/>
      <w:r>
        <w:t>seka</w:t>
      </w:r>
      <w:proofErr w:type="spellEnd"/>
      <w:r>
        <w:t xml:space="preserve">: </w:t>
      </w:r>
    </w:p>
    <w:p w14:paraId="1B6CF496" w14:textId="77777777" w:rsidR="00031EDE" w:rsidRDefault="00D873B8">
      <w:pPr>
        <w:numPr>
          <w:ilvl w:val="0"/>
          <w:numId w:val="3"/>
        </w:numPr>
        <w:spacing w:after="57" w:line="267" w:lineRule="auto"/>
        <w:ind w:hanging="360"/>
      </w:pPr>
      <w:proofErr w:type="spellStart"/>
      <w:r>
        <w:rPr>
          <w:b/>
        </w:rPr>
        <w:t>Registruokite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gavimo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gražinimo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operaciją</w:t>
      </w:r>
      <w:proofErr w:type="spellEnd"/>
      <w:r>
        <w:rPr>
          <w:b/>
        </w:rPr>
        <w:t xml:space="preserve"> </w:t>
      </w:r>
    </w:p>
    <w:p w14:paraId="3DEFD86A" w14:textId="77777777" w:rsidR="00031EDE" w:rsidRDefault="00D873B8">
      <w:pPr>
        <w:numPr>
          <w:ilvl w:val="1"/>
          <w:numId w:val="3"/>
        </w:numPr>
        <w:spacing w:after="43"/>
        <w:ind w:hanging="360"/>
      </w:pPr>
      <w:proofErr w:type="spellStart"/>
      <w:r>
        <w:t>Jeigu</w:t>
      </w:r>
      <w:proofErr w:type="spellEnd"/>
      <w:r>
        <w:t xml:space="preserve"> tai 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atstatymas</w:t>
      </w:r>
      <w:proofErr w:type="spellEnd"/>
      <w:r>
        <w:t xml:space="preserve">, </w:t>
      </w:r>
      <w:proofErr w:type="spellStart"/>
      <w:r>
        <w:t>tada</w:t>
      </w:r>
      <w:proofErr w:type="spellEnd"/>
      <w:r>
        <w:t xml:space="preserve"> </w:t>
      </w:r>
      <w:proofErr w:type="spellStart"/>
      <w:r>
        <w:rPr>
          <w:i/>
        </w:rPr>
        <w:t>Mokėjimai</w:t>
      </w:r>
      <w:r>
        <w:rPr>
          <w:rFonts w:ascii="Segoe UI Symbol" w:eastAsia="Segoe UI Symbol" w:hAnsi="Segoe UI Symbol" w:cs="Segoe UI Symbol"/>
          <w:sz w:val="23"/>
        </w:rPr>
        <w:t></w:t>
      </w:r>
      <w:r>
        <w:rPr>
          <w:i/>
        </w:rPr>
        <w:t>banko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sąskaitos</w:t>
      </w:r>
      <w:proofErr w:type="spellEnd"/>
      <w:r>
        <w:rPr>
          <w:i/>
        </w:rPr>
        <w:t>/</w:t>
      </w:r>
      <w:proofErr w:type="spellStart"/>
      <w:r>
        <w:rPr>
          <w:i/>
        </w:rPr>
        <w:t>kasos</w:t>
      </w:r>
      <w:proofErr w:type="spellEnd"/>
      <w:r>
        <w:t xml:space="preserve"> </w:t>
      </w:r>
      <w:proofErr w:type="spellStart"/>
      <w:r>
        <w:t>vidinėje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sąskaitoje</w:t>
      </w:r>
      <w:proofErr w:type="spellEnd"/>
      <w:r>
        <w:t xml:space="preserve"> </w:t>
      </w:r>
      <w:proofErr w:type="spellStart"/>
      <w:r>
        <w:t>registruokite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gavimą</w:t>
      </w:r>
      <w:proofErr w:type="spellEnd"/>
      <w:r>
        <w:t xml:space="preserve"> </w:t>
      </w:r>
      <w:proofErr w:type="spellStart"/>
      <w:r>
        <w:t>pasirinkdami</w:t>
      </w:r>
      <w:proofErr w:type="spellEnd"/>
      <w:r>
        <w:t xml:space="preserve"> </w:t>
      </w:r>
      <w:proofErr w:type="spellStart"/>
      <w:r>
        <w:t>paskirtį</w:t>
      </w:r>
      <w:proofErr w:type="spellEnd"/>
      <w:r>
        <w:t xml:space="preserve"> „</w:t>
      </w:r>
      <w:proofErr w:type="spellStart"/>
      <w:r>
        <w:t>Grąžinimas</w:t>
      </w:r>
      <w:proofErr w:type="spellEnd"/>
      <w:r>
        <w:t xml:space="preserve"> </w:t>
      </w:r>
      <w:proofErr w:type="spellStart"/>
      <w:proofErr w:type="gramStart"/>
      <w:r>
        <w:t>Partneris</w:t>
      </w:r>
      <w:proofErr w:type="spellEnd"/>
      <w:r>
        <w:t>“</w:t>
      </w:r>
      <w:proofErr w:type="gramEnd"/>
      <w:r>
        <w:t xml:space="preserve">. </w:t>
      </w:r>
      <w:proofErr w:type="spellStart"/>
      <w:r>
        <w:t>Partnerį</w:t>
      </w:r>
      <w:proofErr w:type="spellEnd"/>
      <w:r>
        <w:t xml:space="preserve"> </w:t>
      </w:r>
      <w:proofErr w:type="spellStart"/>
      <w:r>
        <w:t>geriausia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patį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sąskaita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apmokėta</w:t>
      </w:r>
      <w:proofErr w:type="spellEnd"/>
      <w:r>
        <w:t xml:space="preserve"> </w:t>
      </w:r>
      <w:proofErr w:type="spellStart"/>
      <w:r>
        <w:t>neteisingai</w:t>
      </w:r>
      <w:proofErr w:type="spellEnd"/>
      <w:r>
        <w:t xml:space="preserve">. </w:t>
      </w:r>
      <w:proofErr w:type="spellStart"/>
      <w:r>
        <w:t>Pridėkite</w:t>
      </w:r>
      <w:proofErr w:type="spellEnd"/>
      <w:r>
        <w:t xml:space="preserve"> </w:t>
      </w:r>
      <w:proofErr w:type="spellStart"/>
      <w:r>
        <w:t>sumų</w:t>
      </w:r>
      <w:proofErr w:type="spellEnd"/>
      <w:r>
        <w:t xml:space="preserve"> </w:t>
      </w:r>
      <w:proofErr w:type="spellStart"/>
      <w:r>
        <w:t>detalizacijas</w:t>
      </w:r>
      <w:proofErr w:type="spellEnd"/>
      <w:r>
        <w:t xml:space="preserve"> –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Paskyrimas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] </w:t>
      </w:r>
      <w:proofErr w:type="spellStart"/>
      <w:r>
        <w:t>mygtuką</w:t>
      </w:r>
      <w:proofErr w:type="spellEnd"/>
      <w:r>
        <w:t xml:space="preserve">, </w:t>
      </w:r>
      <w:proofErr w:type="spellStart"/>
      <w:r>
        <w:t>parinkite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sąmatą</w:t>
      </w:r>
      <w:proofErr w:type="spellEnd"/>
      <w:r>
        <w:t xml:space="preserve">, </w:t>
      </w:r>
      <w:proofErr w:type="spellStart"/>
      <w:r>
        <w:t>kuriai</w:t>
      </w:r>
      <w:proofErr w:type="spellEnd"/>
      <w:r>
        <w:t xml:space="preserve"> </w:t>
      </w:r>
      <w:proofErr w:type="spellStart"/>
      <w:r>
        <w:t>kasines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 xml:space="preserve"> norite </w:t>
      </w:r>
      <w:proofErr w:type="spellStart"/>
      <w:r>
        <w:t>sumažinti</w:t>
      </w:r>
      <w:proofErr w:type="spellEnd"/>
      <w:r>
        <w:t xml:space="preserve"> (</w:t>
      </w:r>
      <w:proofErr w:type="spellStart"/>
      <w:r>
        <w:t>Sąmata</w:t>
      </w:r>
      <w:proofErr w:type="spellEnd"/>
      <w:r>
        <w:t xml:space="preserve"> A), </w:t>
      </w:r>
      <w:proofErr w:type="spellStart"/>
      <w:r>
        <w:t>atitinkamai</w:t>
      </w:r>
      <w:proofErr w:type="spellEnd"/>
      <w:r>
        <w:t xml:space="preserve"> </w:t>
      </w:r>
      <w:proofErr w:type="spellStart"/>
      <w:r>
        <w:t>parinkite</w:t>
      </w:r>
      <w:proofErr w:type="spellEnd"/>
      <w:r>
        <w:t xml:space="preserve"> </w:t>
      </w:r>
      <w:proofErr w:type="spellStart"/>
      <w:r>
        <w:t>straipsnį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bus </w:t>
      </w:r>
      <w:proofErr w:type="spellStart"/>
      <w:r>
        <w:t>atstatomas</w:t>
      </w:r>
      <w:proofErr w:type="spellEnd"/>
      <w:r>
        <w:t xml:space="preserve">. </w:t>
      </w:r>
    </w:p>
    <w:p w14:paraId="354E1DA5" w14:textId="77777777" w:rsidR="00031EDE" w:rsidRDefault="00D873B8">
      <w:pPr>
        <w:numPr>
          <w:ilvl w:val="1"/>
          <w:numId w:val="3"/>
        </w:numPr>
        <w:ind w:hanging="360"/>
      </w:pPr>
      <w:proofErr w:type="spellStart"/>
      <w:r>
        <w:t>Jeigu</w:t>
      </w:r>
      <w:proofErr w:type="spellEnd"/>
      <w:r>
        <w:t xml:space="preserve"> tai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atstatymas</w:t>
      </w:r>
      <w:proofErr w:type="spellEnd"/>
      <w:r>
        <w:t xml:space="preserve">, </w:t>
      </w:r>
      <w:proofErr w:type="spellStart"/>
      <w:r>
        <w:t>analogiškai</w:t>
      </w:r>
      <w:proofErr w:type="spellEnd"/>
      <w:r>
        <w:t xml:space="preserve"> </w:t>
      </w:r>
      <w:proofErr w:type="spellStart"/>
      <w:r>
        <w:t>registruokite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gavimą</w:t>
      </w:r>
      <w:proofErr w:type="spellEnd"/>
      <w:r>
        <w:t xml:space="preserve"> </w:t>
      </w:r>
      <w:proofErr w:type="spellStart"/>
      <w:r>
        <w:t>pasirinkdami</w:t>
      </w:r>
      <w:proofErr w:type="spellEnd"/>
      <w:r>
        <w:t xml:space="preserve"> </w:t>
      </w:r>
      <w:proofErr w:type="spellStart"/>
      <w:r>
        <w:t>paskir</w:t>
      </w:r>
      <w:r>
        <w:t>tį</w:t>
      </w:r>
      <w:proofErr w:type="spellEnd"/>
      <w:r>
        <w:t xml:space="preserve"> „</w:t>
      </w:r>
      <w:proofErr w:type="spellStart"/>
      <w:r>
        <w:t>Grąžinimas</w:t>
      </w:r>
      <w:proofErr w:type="spellEnd"/>
      <w:r>
        <w:t xml:space="preserve"> </w:t>
      </w:r>
      <w:proofErr w:type="spellStart"/>
      <w:proofErr w:type="gramStart"/>
      <w:r>
        <w:t>Atlyginimas</w:t>
      </w:r>
      <w:proofErr w:type="spellEnd"/>
      <w:r>
        <w:t xml:space="preserve">“ </w:t>
      </w:r>
      <w:proofErr w:type="spellStart"/>
      <w:r>
        <w:t>ir</w:t>
      </w:r>
      <w:proofErr w:type="spellEnd"/>
      <w:proofErr w:type="gramEnd"/>
      <w:r>
        <w:t xml:space="preserve"> </w:t>
      </w:r>
      <w:proofErr w:type="spellStart"/>
      <w:r>
        <w:t>sumų</w:t>
      </w:r>
      <w:proofErr w:type="spellEnd"/>
      <w:r>
        <w:t xml:space="preserve"> </w:t>
      </w:r>
      <w:proofErr w:type="spellStart"/>
      <w:r>
        <w:t>detalizacijose</w:t>
      </w:r>
      <w:proofErr w:type="spellEnd"/>
      <w:r>
        <w:t xml:space="preserve"> </w:t>
      </w:r>
      <w:proofErr w:type="spellStart"/>
      <w:r>
        <w:t>papildomai</w:t>
      </w:r>
      <w:proofErr w:type="spellEnd"/>
      <w:r>
        <w:t xml:space="preserve"> </w:t>
      </w:r>
      <w:proofErr w:type="spellStart"/>
      <w:r>
        <w:t>nurodykite</w:t>
      </w:r>
      <w:proofErr w:type="spellEnd"/>
      <w:r>
        <w:t xml:space="preserve"> </w:t>
      </w:r>
      <w:proofErr w:type="spellStart"/>
      <w:r>
        <w:t>konkretų</w:t>
      </w:r>
      <w:proofErr w:type="spellEnd"/>
      <w:r>
        <w:t xml:space="preserve"> </w:t>
      </w:r>
      <w:proofErr w:type="spellStart"/>
      <w:r>
        <w:t>darbuotoją</w:t>
      </w:r>
      <w:proofErr w:type="spellEnd"/>
      <w:r>
        <w:t xml:space="preserve"> (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darbuotojui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bendrą</w:t>
      </w:r>
      <w:proofErr w:type="spellEnd"/>
      <w:r>
        <w:t xml:space="preserve"> </w:t>
      </w:r>
      <w:proofErr w:type="spellStart"/>
      <w:r>
        <w:t>atstatomą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). </w:t>
      </w:r>
    </w:p>
    <w:p w14:paraId="10D41331" w14:textId="77777777" w:rsidR="00031EDE" w:rsidRDefault="00D873B8">
      <w:pPr>
        <w:spacing w:after="50" w:line="259" w:lineRule="auto"/>
        <w:ind w:left="2120" w:firstLine="0"/>
        <w:jc w:val="left"/>
      </w:pPr>
      <w:r>
        <w:t xml:space="preserve"> </w:t>
      </w:r>
    </w:p>
    <w:p w14:paraId="32F106E2" w14:textId="77777777" w:rsidR="00031EDE" w:rsidRDefault="00D873B8">
      <w:pPr>
        <w:numPr>
          <w:ilvl w:val="0"/>
          <w:numId w:val="3"/>
        </w:numPr>
        <w:spacing w:after="57" w:line="267" w:lineRule="auto"/>
        <w:ind w:hanging="360"/>
      </w:pPr>
      <w:proofErr w:type="spellStart"/>
      <w:r>
        <w:rPr>
          <w:b/>
        </w:rPr>
        <w:t>Registruokite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pinigų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išmokėjimo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operaciją</w:t>
      </w:r>
      <w:proofErr w:type="spellEnd"/>
      <w:r>
        <w:rPr>
          <w:b/>
        </w:rPr>
        <w:t xml:space="preserve"> </w:t>
      </w:r>
    </w:p>
    <w:p w14:paraId="63A1DBE6" w14:textId="77777777" w:rsidR="00031EDE" w:rsidRDefault="00D873B8">
      <w:pPr>
        <w:numPr>
          <w:ilvl w:val="1"/>
          <w:numId w:val="3"/>
        </w:numPr>
        <w:spacing w:after="43"/>
        <w:ind w:hanging="360"/>
      </w:pPr>
      <w:proofErr w:type="spellStart"/>
      <w:r>
        <w:t>Jeigu</w:t>
      </w:r>
      <w:proofErr w:type="spellEnd"/>
      <w:r>
        <w:t xml:space="preserve"> tai 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, </w:t>
      </w:r>
      <w:proofErr w:type="spellStart"/>
      <w:r>
        <w:rPr>
          <w:i/>
        </w:rPr>
        <w:t>Mokėjimai</w:t>
      </w:r>
      <w:r>
        <w:rPr>
          <w:rFonts w:ascii="Segoe UI Symbol" w:eastAsia="Segoe UI Symbol" w:hAnsi="Segoe UI Symbol" w:cs="Segoe UI Symbol"/>
          <w:sz w:val="23"/>
        </w:rPr>
        <w:t></w:t>
      </w:r>
      <w:r>
        <w:rPr>
          <w:i/>
        </w:rPr>
        <w:t>banko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sąskaitos</w:t>
      </w:r>
      <w:proofErr w:type="spellEnd"/>
      <w:r>
        <w:rPr>
          <w:i/>
        </w:rPr>
        <w:t>/</w:t>
      </w:r>
      <w:proofErr w:type="spellStart"/>
      <w:r>
        <w:rPr>
          <w:i/>
        </w:rPr>
        <w:t>kasos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registruokite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išmokėjimą</w:t>
      </w:r>
      <w:proofErr w:type="spellEnd"/>
      <w:r>
        <w:t xml:space="preserve"> </w:t>
      </w:r>
      <w:proofErr w:type="spellStart"/>
      <w:r>
        <w:t>pasirinkdami</w:t>
      </w:r>
      <w:proofErr w:type="spellEnd"/>
      <w:r>
        <w:t xml:space="preserve"> </w:t>
      </w:r>
      <w:proofErr w:type="spellStart"/>
      <w:r>
        <w:t>paskirtį</w:t>
      </w:r>
      <w:proofErr w:type="spellEnd"/>
      <w:r>
        <w:t xml:space="preserve"> „</w:t>
      </w:r>
      <w:proofErr w:type="spellStart"/>
      <w:proofErr w:type="gramStart"/>
      <w:r>
        <w:t>Partneris</w:t>
      </w:r>
      <w:proofErr w:type="spellEnd"/>
      <w:r>
        <w:t>“</w:t>
      </w:r>
      <w:proofErr w:type="gramEnd"/>
      <w:r>
        <w:t xml:space="preserve">. </w:t>
      </w:r>
      <w:proofErr w:type="spellStart"/>
      <w:r>
        <w:t>Pridėkite</w:t>
      </w:r>
      <w:proofErr w:type="spellEnd"/>
      <w:r>
        <w:t xml:space="preserve"> </w:t>
      </w:r>
      <w:proofErr w:type="spellStart"/>
      <w:r>
        <w:t>sumų</w:t>
      </w:r>
      <w:proofErr w:type="spellEnd"/>
      <w:r>
        <w:t xml:space="preserve"> </w:t>
      </w:r>
      <w:proofErr w:type="spellStart"/>
      <w:r>
        <w:t>detalizacijas</w:t>
      </w:r>
      <w:proofErr w:type="spellEnd"/>
      <w:r>
        <w:t xml:space="preserve"> –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Paskyrimas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] </w:t>
      </w:r>
      <w:proofErr w:type="spellStart"/>
      <w:r>
        <w:t>mygtuką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pasirinkite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sąmatą</w:t>
      </w:r>
      <w:proofErr w:type="spellEnd"/>
      <w:r>
        <w:t xml:space="preserve">, </w:t>
      </w:r>
      <w:proofErr w:type="spellStart"/>
      <w:r>
        <w:t>kuriai</w:t>
      </w:r>
      <w:proofErr w:type="spellEnd"/>
      <w:r>
        <w:t xml:space="preserve"> norite </w:t>
      </w:r>
      <w:proofErr w:type="spellStart"/>
      <w:r>
        <w:t>padidinti</w:t>
      </w:r>
      <w:proofErr w:type="spellEnd"/>
      <w:r>
        <w:t xml:space="preserve"> </w:t>
      </w:r>
      <w:proofErr w:type="spellStart"/>
      <w:r>
        <w:t>kasines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 xml:space="preserve"> (</w:t>
      </w:r>
      <w:proofErr w:type="spellStart"/>
      <w:r>
        <w:t>Sąmata</w:t>
      </w:r>
      <w:proofErr w:type="spellEnd"/>
      <w:r>
        <w:t xml:space="preserve"> B). </w:t>
      </w:r>
    </w:p>
    <w:p w14:paraId="537DF18D" w14:textId="77777777" w:rsidR="00031EDE" w:rsidRDefault="00D873B8">
      <w:pPr>
        <w:numPr>
          <w:ilvl w:val="1"/>
          <w:numId w:val="3"/>
        </w:numPr>
        <w:spacing w:after="129"/>
        <w:ind w:hanging="360"/>
      </w:pPr>
      <w:proofErr w:type="spellStart"/>
      <w:r>
        <w:t>Jeigu</w:t>
      </w:r>
      <w:proofErr w:type="spellEnd"/>
      <w:r>
        <w:t xml:space="preserve"> tai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, </w:t>
      </w:r>
      <w:proofErr w:type="spellStart"/>
      <w:r>
        <w:t>registruokite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išmokėjimą</w:t>
      </w:r>
      <w:proofErr w:type="spellEnd"/>
      <w:r>
        <w:t xml:space="preserve"> </w:t>
      </w:r>
      <w:proofErr w:type="spellStart"/>
      <w:r>
        <w:t>pasirinkdami</w:t>
      </w:r>
      <w:proofErr w:type="spellEnd"/>
      <w:r>
        <w:t xml:space="preserve"> </w:t>
      </w:r>
      <w:proofErr w:type="spellStart"/>
      <w:r>
        <w:t>paskirtį</w:t>
      </w:r>
      <w:proofErr w:type="spellEnd"/>
      <w:r>
        <w:t xml:space="preserve"> „</w:t>
      </w:r>
      <w:proofErr w:type="spellStart"/>
      <w:proofErr w:type="gramStart"/>
      <w:r>
        <w:t>Atlyginimas</w:t>
      </w:r>
      <w:proofErr w:type="spellEnd"/>
      <w:r>
        <w:t xml:space="preserve">“ </w:t>
      </w:r>
      <w:proofErr w:type="spellStart"/>
      <w:r>
        <w:t>ir</w:t>
      </w:r>
      <w:proofErr w:type="spellEnd"/>
      <w:proofErr w:type="gramEnd"/>
      <w:r>
        <w:t xml:space="preserve"> </w:t>
      </w:r>
      <w:proofErr w:type="spellStart"/>
      <w:r>
        <w:t>sumų</w:t>
      </w:r>
      <w:proofErr w:type="spellEnd"/>
      <w:r>
        <w:t xml:space="preserve"> </w:t>
      </w:r>
      <w:proofErr w:type="spellStart"/>
      <w:r>
        <w:t>detalizacijose</w:t>
      </w:r>
      <w:proofErr w:type="spellEnd"/>
      <w:r>
        <w:t xml:space="preserve"> </w:t>
      </w:r>
      <w:proofErr w:type="spellStart"/>
      <w:r>
        <w:t>papildomai</w:t>
      </w:r>
      <w:proofErr w:type="spellEnd"/>
      <w:r>
        <w:t xml:space="preserve"> </w:t>
      </w:r>
      <w:proofErr w:type="spellStart"/>
      <w:r>
        <w:t>pridėkite</w:t>
      </w:r>
      <w:proofErr w:type="spellEnd"/>
      <w:r>
        <w:t xml:space="preserve"> </w:t>
      </w:r>
      <w:proofErr w:type="spellStart"/>
      <w:r>
        <w:t>detalizaciją</w:t>
      </w:r>
      <w:proofErr w:type="spellEnd"/>
      <w:r>
        <w:t xml:space="preserve"> „</w:t>
      </w:r>
      <w:proofErr w:type="spellStart"/>
      <w:r>
        <w:t>Darbuotojas</w:t>
      </w:r>
      <w:proofErr w:type="spellEnd"/>
      <w:r>
        <w:t xml:space="preserve">“ – </w:t>
      </w:r>
      <w:proofErr w:type="spellStart"/>
      <w:r>
        <w:t>joje</w:t>
      </w:r>
      <w:proofErr w:type="spellEnd"/>
      <w:r>
        <w:t xml:space="preserve"> </w:t>
      </w:r>
      <w:proofErr w:type="spellStart"/>
      <w:r>
        <w:t>nurodykite</w:t>
      </w:r>
      <w:proofErr w:type="spellEnd"/>
      <w:r>
        <w:t xml:space="preserve"> </w:t>
      </w:r>
      <w:proofErr w:type="spellStart"/>
      <w:r>
        <w:t>konkretų</w:t>
      </w:r>
      <w:proofErr w:type="spellEnd"/>
      <w:r>
        <w:t xml:space="preserve"> </w:t>
      </w:r>
      <w:proofErr w:type="spellStart"/>
      <w:r>
        <w:t>darbuotoją</w:t>
      </w:r>
      <w:proofErr w:type="spellEnd"/>
      <w:r>
        <w:t xml:space="preserve">. </w:t>
      </w:r>
    </w:p>
    <w:p w14:paraId="21A896C0" w14:textId="77777777" w:rsidR="00031EDE" w:rsidRDefault="00D873B8">
      <w:pPr>
        <w:spacing w:after="345" w:line="259" w:lineRule="auto"/>
        <w:ind w:left="680" w:firstLine="0"/>
        <w:jc w:val="left"/>
      </w:pPr>
      <w:r>
        <w:t xml:space="preserve"> </w:t>
      </w:r>
      <w:bookmarkStart w:id="0" w:name="_GoBack"/>
      <w:bookmarkEnd w:id="0"/>
    </w:p>
    <w:p w14:paraId="5BAC0623" w14:textId="77777777" w:rsidR="00031EDE" w:rsidRDefault="00D873B8">
      <w:pPr>
        <w:pStyle w:val="Heading1"/>
        <w:ind w:left="1035"/>
      </w:pPr>
      <w:r>
        <w:t>1.4.</w:t>
      </w:r>
      <w:r>
        <w:rPr>
          <w:rFonts w:ascii="Arial" w:eastAsia="Arial" w:hAnsi="Arial" w:cs="Arial"/>
        </w:rPr>
        <w:t xml:space="preserve"> </w:t>
      </w:r>
      <w:proofErr w:type="spellStart"/>
      <w:r>
        <w:t>Priskaitymų</w:t>
      </w:r>
      <w:proofErr w:type="spellEnd"/>
      <w:r>
        <w:t xml:space="preserve"> </w:t>
      </w:r>
      <w:proofErr w:type="spellStart"/>
      <w:r>
        <w:t>koregavimas</w:t>
      </w:r>
      <w:proofErr w:type="spellEnd"/>
      <w:r>
        <w:t xml:space="preserve"> </w:t>
      </w:r>
    </w:p>
    <w:p w14:paraId="71744401" w14:textId="77777777" w:rsidR="00031EDE" w:rsidRDefault="00D873B8">
      <w:pPr>
        <w:spacing w:after="200"/>
        <w:ind w:left="675"/>
      </w:pPr>
      <w:proofErr w:type="spellStart"/>
      <w:r>
        <w:t>Je</w:t>
      </w:r>
      <w:r>
        <w:t>i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, </w:t>
      </w:r>
      <w:proofErr w:type="spellStart"/>
      <w:r>
        <w:t>neteisingai</w:t>
      </w:r>
      <w:proofErr w:type="spellEnd"/>
      <w:r>
        <w:t xml:space="preserve"> </w:t>
      </w:r>
      <w:proofErr w:type="spellStart"/>
      <w:r>
        <w:t>detalizuotas</w:t>
      </w:r>
      <w:proofErr w:type="spellEnd"/>
      <w:r>
        <w:t xml:space="preserve"> </w:t>
      </w:r>
      <w:proofErr w:type="spellStart"/>
      <w:r>
        <w:t>priskaitymas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proofErr w:type="gramStart"/>
      <w:r>
        <w:t>sąnaudų</w:t>
      </w:r>
      <w:proofErr w:type="spellEnd"/>
      <w:r>
        <w:t xml:space="preserve">  </w:t>
      </w:r>
      <w:proofErr w:type="spellStart"/>
      <w:r>
        <w:t>pajamavimas</w:t>
      </w:r>
      <w:proofErr w:type="spellEnd"/>
      <w:proofErr w:type="gramEnd"/>
      <w:r>
        <w:t xml:space="preserve">,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: </w:t>
      </w:r>
    </w:p>
    <w:p w14:paraId="1461CBA8" w14:textId="77777777" w:rsidR="00031EDE" w:rsidRDefault="00D873B8">
      <w:pPr>
        <w:numPr>
          <w:ilvl w:val="0"/>
          <w:numId w:val="4"/>
        </w:numPr>
        <w:ind w:hanging="360"/>
      </w:pPr>
      <w:proofErr w:type="spellStart"/>
      <w:r>
        <w:lastRenderedPageBreak/>
        <w:t>Neteisingai</w:t>
      </w:r>
      <w:proofErr w:type="spellEnd"/>
      <w:r>
        <w:t xml:space="preserve"> </w:t>
      </w:r>
      <w:proofErr w:type="spellStart"/>
      <w:r>
        <w:t>užregistruotų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sąskaitų</w:t>
      </w:r>
      <w:proofErr w:type="spellEnd"/>
      <w:r>
        <w:t xml:space="preserve">; </w:t>
      </w:r>
    </w:p>
    <w:p w14:paraId="06CEB816" w14:textId="77777777" w:rsidR="00031EDE" w:rsidRDefault="00D873B8">
      <w:pPr>
        <w:numPr>
          <w:ilvl w:val="0"/>
          <w:numId w:val="4"/>
        </w:numPr>
        <w:ind w:hanging="360"/>
      </w:pPr>
      <w:proofErr w:type="spellStart"/>
      <w:r>
        <w:t>Neteisingai</w:t>
      </w:r>
      <w:proofErr w:type="spellEnd"/>
      <w:r>
        <w:t xml:space="preserve"> </w:t>
      </w:r>
      <w:proofErr w:type="spellStart"/>
      <w:r>
        <w:t>užregistruoto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. </w:t>
      </w:r>
    </w:p>
    <w:p w14:paraId="4378E57B" w14:textId="77777777" w:rsidR="00031EDE" w:rsidRDefault="00D873B8">
      <w:pPr>
        <w:spacing w:after="158" w:line="259" w:lineRule="auto"/>
        <w:ind w:left="680" w:firstLine="0"/>
        <w:jc w:val="left"/>
      </w:pPr>
      <w:r>
        <w:t xml:space="preserve"> </w:t>
      </w:r>
    </w:p>
    <w:p w14:paraId="10087016" w14:textId="77777777" w:rsidR="00031EDE" w:rsidRDefault="00D873B8">
      <w:pPr>
        <w:spacing w:after="160" w:line="258" w:lineRule="auto"/>
        <w:ind w:left="675"/>
        <w:jc w:val="left"/>
      </w:pPr>
      <w:proofErr w:type="spellStart"/>
      <w:r>
        <w:t>Neteisingai</w:t>
      </w:r>
      <w:proofErr w:type="spellEnd"/>
      <w:r>
        <w:t xml:space="preserve"> </w:t>
      </w:r>
      <w:proofErr w:type="spellStart"/>
      <w:r>
        <w:t>užregistruotas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sąskaitas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stornuoti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užregistruoti</w:t>
      </w:r>
      <w:proofErr w:type="spellEnd"/>
      <w:r>
        <w:t xml:space="preserve"> </w:t>
      </w:r>
      <w:proofErr w:type="spellStart"/>
      <w:r>
        <w:t>teisingai</w:t>
      </w:r>
      <w:proofErr w:type="spellEnd"/>
      <w:r>
        <w:t xml:space="preserve">. </w:t>
      </w:r>
      <w:proofErr w:type="spellStart"/>
      <w:r>
        <w:t>Tokiais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, kai to </w:t>
      </w:r>
      <w:proofErr w:type="spellStart"/>
      <w:r>
        <w:t>padaryti</w:t>
      </w:r>
      <w:proofErr w:type="spellEnd"/>
      <w:r>
        <w:t xml:space="preserve"> </w:t>
      </w:r>
      <w:proofErr w:type="spellStart"/>
      <w:r>
        <w:t>neįmanoma</w:t>
      </w:r>
      <w:proofErr w:type="spellEnd"/>
      <w:r>
        <w:t xml:space="preserve"> (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nurašymai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pan.), – </w:t>
      </w:r>
      <w:proofErr w:type="spellStart"/>
      <w:r>
        <w:t>registruojamos</w:t>
      </w:r>
      <w:proofErr w:type="spellEnd"/>
      <w:r>
        <w:t xml:space="preserve"> </w:t>
      </w:r>
      <w:proofErr w:type="spellStart"/>
      <w:r>
        <w:t>koreguojančios</w:t>
      </w:r>
      <w:proofErr w:type="spellEnd"/>
      <w:r>
        <w:t xml:space="preserve"> </w:t>
      </w:r>
      <w:proofErr w:type="spellStart"/>
      <w:r>
        <w:t>buhalterinės</w:t>
      </w:r>
      <w:proofErr w:type="spellEnd"/>
      <w:r>
        <w:t xml:space="preserve"> </w:t>
      </w:r>
      <w:proofErr w:type="spellStart"/>
      <w:r>
        <w:t>pažymos</w:t>
      </w:r>
      <w:proofErr w:type="spellEnd"/>
      <w:r>
        <w:t>.</w:t>
      </w:r>
      <w:r>
        <w:rPr>
          <w:i/>
        </w:rPr>
        <w:t xml:space="preserve">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atkreipti</w:t>
      </w:r>
      <w:proofErr w:type="spellEnd"/>
      <w:r>
        <w:t xml:space="preserve"> </w:t>
      </w:r>
      <w:proofErr w:type="spellStart"/>
      <w:r>
        <w:t>dėmesį</w:t>
      </w:r>
      <w:proofErr w:type="spellEnd"/>
      <w:r>
        <w:t>,</w:t>
      </w:r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nurašymai</w:t>
      </w:r>
      <w:proofErr w:type="spellEnd"/>
      <w:r>
        <w:t xml:space="preserve">, </w:t>
      </w:r>
      <w:proofErr w:type="spellStart"/>
      <w:r>
        <w:t>užregistruotas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 xml:space="preserve">.  </w:t>
      </w:r>
    </w:p>
    <w:p w14:paraId="2EC0ABA6" w14:textId="77777777" w:rsidR="00031EDE" w:rsidRDefault="00D873B8">
      <w:pPr>
        <w:spacing w:after="151"/>
        <w:ind w:left="675"/>
      </w:pPr>
      <w:proofErr w:type="spellStart"/>
      <w:r>
        <w:t>Jei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priskaitymo</w:t>
      </w:r>
      <w:proofErr w:type="spellEnd"/>
      <w:r>
        <w:t xml:space="preserve"> </w:t>
      </w:r>
      <w:proofErr w:type="spellStart"/>
      <w:r>
        <w:t>detalizacijų</w:t>
      </w:r>
      <w:proofErr w:type="spellEnd"/>
      <w:r>
        <w:t xml:space="preserve"> </w:t>
      </w:r>
      <w:proofErr w:type="spellStart"/>
      <w:r>
        <w:t>keitimui</w:t>
      </w:r>
      <w:proofErr w:type="spellEnd"/>
      <w:r>
        <w:t xml:space="preserve"> </w:t>
      </w:r>
      <w:proofErr w:type="spellStart"/>
      <w:r>
        <w:t>nebėra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atsidaryti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pakoreguoti</w:t>
      </w:r>
      <w:proofErr w:type="spellEnd"/>
      <w:r>
        <w:t xml:space="preserve"> </w:t>
      </w:r>
      <w:proofErr w:type="spellStart"/>
      <w:r>
        <w:t>žiniaraštį</w:t>
      </w:r>
      <w:proofErr w:type="spellEnd"/>
      <w:r>
        <w:t xml:space="preserve">, </w:t>
      </w:r>
      <w:proofErr w:type="spellStart"/>
      <w:r>
        <w:t>tuomet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registruojamos</w:t>
      </w:r>
      <w:proofErr w:type="spellEnd"/>
      <w:r>
        <w:t xml:space="preserve"> </w:t>
      </w:r>
      <w:proofErr w:type="spellStart"/>
      <w:r>
        <w:t>buhalterinės</w:t>
      </w:r>
      <w:proofErr w:type="spellEnd"/>
      <w:r>
        <w:t xml:space="preserve"> </w:t>
      </w:r>
      <w:proofErr w:type="spellStart"/>
      <w:r>
        <w:t>pažymos</w:t>
      </w:r>
      <w:proofErr w:type="spellEnd"/>
      <w:r>
        <w:t xml:space="preserve">. </w:t>
      </w:r>
    </w:p>
    <w:p w14:paraId="3085C6DD" w14:textId="77777777" w:rsidR="00031EDE" w:rsidRDefault="00D873B8">
      <w:pPr>
        <w:spacing w:after="186"/>
        <w:ind w:left="675"/>
      </w:pPr>
      <w:proofErr w:type="spellStart"/>
      <w:r>
        <w:t>Koregavimas</w:t>
      </w:r>
      <w:proofErr w:type="spellEnd"/>
      <w:r>
        <w:t xml:space="preserve"> per </w:t>
      </w:r>
      <w:proofErr w:type="spellStart"/>
      <w:r>
        <w:t>buhalterines</w:t>
      </w:r>
      <w:proofErr w:type="spellEnd"/>
      <w:r>
        <w:t xml:space="preserve"> </w:t>
      </w:r>
      <w:proofErr w:type="spellStart"/>
      <w:r>
        <w:t>pa</w:t>
      </w:r>
      <w:r>
        <w:t>žymas</w:t>
      </w:r>
      <w:proofErr w:type="spellEnd"/>
      <w:r>
        <w:t>:</w:t>
      </w:r>
      <w:r>
        <w:rPr>
          <w:i/>
        </w:rPr>
        <w:t xml:space="preserve"> </w:t>
      </w:r>
    </w:p>
    <w:p w14:paraId="172AD1AC" w14:textId="77777777" w:rsidR="00031EDE" w:rsidRDefault="00D873B8">
      <w:pPr>
        <w:numPr>
          <w:ilvl w:val="0"/>
          <w:numId w:val="5"/>
        </w:numPr>
        <w:spacing w:line="267" w:lineRule="auto"/>
        <w:ind w:hanging="360"/>
      </w:pPr>
      <w:proofErr w:type="spellStart"/>
      <w:r>
        <w:rPr>
          <w:b/>
        </w:rPr>
        <w:t>Pirkimo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sąskaitų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koregavimui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sukurkite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buhalterinę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pažymą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kurioje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įveskite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pačią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Kredito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Debeto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sąskaitą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Kredito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Debeto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skirtingomis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detalizacijomis</w:t>
      </w:r>
      <w:proofErr w:type="spellEnd"/>
      <w:r>
        <w:rPr>
          <w:b/>
        </w:rPr>
        <w:t xml:space="preserve">. </w:t>
      </w:r>
    </w:p>
    <w:p w14:paraId="60BA6E9A" w14:textId="77777777" w:rsidR="00031EDE" w:rsidRDefault="00D873B8">
      <w:pPr>
        <w:ind w:left="1410"/>
      </w:pPr>
      <w:proofErr w:type="spellStart"/>
      <w:r>
        <w:t>Rekomenduojama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 „</w:t>
      </w:r>
      <w:proofErr w:type="spellStart"/>
      <w:r>
        <w:t>Buhalterinė</w:t>
      </w:r>
      <w:proofErr w:type="spellEnd"/>
      <w:r>
        <w:t xml:space="preserve"> </w:t>
      </w:r>
      <w:proofErr w:type="spellStart"/>
      <w:proofErr w:type="gramStart"/>
      <w:r>
        <w:t>pažyma</w:t>
      </w:r>
      <w:proofErr w:type="spellEnd"/>
      <w:r>
        <w:t>“</w:t>
      </w:r>
      <w:proofErr w:type="gramEnd"/>
      <w:r>
        <w:t xml:space="preserve">, </w:t>
      </w:r>
      <w:proofErr w:type="spellStart"/>
      <w:r>
        <w:t>kur</w:t>
      </w:r>
      <w:proofErr w:type="spellEnd"/>
      <w:r>
        <w:t xml:space="preserve"> visa</w:t>
      </w:r>
      <w:r>
        <w:t xml:space="preserve">s </w:t>
      </w:r>
      <w:proofErr w:type="spellStart"/>
      <w:r>
        <w:t>sąskaitas</w:t>
      </w:r>
      <w:proofErr w:type="spellEnd"/>
      <w:r>
        <w:t xml:space="preserve"> </w:t>
      </w:r>
      <w:proofErr w:type="spellStart"/>
      <w:r>
        <w:t>galėsite</w:t>
      </w:r>
      <w:proofErr w:type="spellEnd"/>
      <w:r>
        <w:t xml:space="preserve"> </w:t>
      </w:r>
      <w:proofErr w:type="spellStart"/>
      <w:r>
        <w:t>susidėlioti</w:t>
      </w:r>
      <w:proofErr w:type="spellEnd"/>
      <w:r>
        <w:t xml:space="preserve"> </w:t>
      </w:r>
      <w:proofErr w:type="spellStart"/>
      <w:r>
        <w:t>rankiniu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(</w:t>
      </w:r>
      <w:proofErr w:type="spellStart"/>
      <w:r>
        <w:t>nusirodyti</w:t>
      </w:r>
      <w:proofErr w:type="spellEnd"/>
      <w:r>
        <w:t xml:space="preserve"> </w:t>
      </w:r>
      <w:proofErr w:type="spellStart"/>
      <w:r>
        <w:t>pasirinktas</w:t>
      </w:r>
      <w:proofErr w:type="spellEnd"/>
      <w:r>
        <w:t xml:space="preserve"> </w:t>
      </w:r>
      <w:proofErr w:type="spellStart"/>
      <w:r>
        <w:t>sąskaitas</w:t>
      </w:r>
      <w:proofErr w:type="spellEnd"/>
      <w:r>
        <w:t xml:space="preserve">, </w:t>
      </w:r>
      <w:proofErr w:type="spellStart"/>
      <w:r>
        <w:t>kurias</w:t>
      </w:r>
      <w:proofErr w:type="spellEnd"/>
      <w:r>
        <w:t xml:space="preserve"> norite </w:t>
      </w:r>
      <w:proofErr w:type="spellStart"/>
      <w:r>
        <w:t>kredituoti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debetuoti</w:t>
      </w:r>
      <w:proofErr w:type="spellEnd"/>
      <w:r>
        <w:t xml:space="preserve">). </w:t>
      </w:r>
      <w:proofErr w:type="spellStart"/>
      <w:r>
        <w:t>Privalomas</w:t>
      </w:r>
      <w:proofErr w:type="spellEnd"/>
      <w:r>
        <w:t xml:space="preserve"> </w:t>
      </w:r>
      <w:proofErr w:type="spellStart"/>
      <w:r>
        <w:t>detalizacijas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reikės</w:t>
      </w:r>
      <w:proofErr w:type="spellEnd"/>
      <w:r>
        <w:t xml:space="preserve"> </w:t>
      </w:r>
      <w:proofErr w:type="spellStart"/>
      <w:r>
        <w:t>nusirodyti</w:t>
      </w:r>
      <w:proofErr w:type="spellEnd"/>
      <w:r>
        <w:t xml:space="preserve">. </w:t>
      </w:r>
      <w:proofErr w:type="spellStart"/>
      <w:r>
        <w:t>Pvz</w:t>
      </w:r>
      <w:proofErr w:type="spellEnd"/>
      <w:r>
        <w:t xml:space="preserve">. D 691 </w:t>
      </w:r>
      <w:proofErr w:type="spellStart"/>
      <w:r>
        <w:t>detalizacijas</w:t>
      </w:r>
      <w:proofErr w:type="spellEnd"/>
      <w:r>
        <w:t xml:space="preserve"> </w:t>
      </w:r>
      <w:proofErr w:type="spellStart"/>
      <w:r>
        <w:t>nurodykite</w:t>
      </w:r>
      <w:proofErr w:type="spellEnd"/>
      <w:r>
        <w:t xml:space="preserve"> „</w:t>
      </w:r>
      <w:proofErr w:type="spellStart"/>
      <w:r>
        <w:t>Sąmatą</w:t>
      </w:r>
      <w:proofErr w:type="spellEnd"/>
      <w:r>
        <w:t xml:space="preserve"> </w:t>
      </w:r>
      <w:proofErr w:type="gramStart"/>
      <w:r>
        <w:t>A“ (</w:t>
      </w:r>
      <w:proofErr w:type="spellStart"/>
      <w:proofErr w:type="gramEnd"/>
      <w:r>
        <w:t>mažiname</w:t>
      </w:r>
      <w:proofErr w:type="spellEnd"/>
      <w:r>
        <w:t xml:space="preserve"> </w:t>
      </w:r>
      <w:proofErr w:type="spellStart"/>
      <w:r>
        <w:t>priskaitymą</w:t>
      </w:r>
      <w:proofErr w:type="spellEnd"/>
      <w:r>
        <w:t xml:space="preserve">), K 691 </w:t>
      </w:r>
      <w:proofErr w:type="spellStart"/>
      <w:r>
        <w:t>nuro</w:t>
      </w:r>
      <w:r>
        <w:t>dote</w:t>
      </w:r>
      <w:proofErr w:type="spellEnd"/>
      <w:r>
        <w:t xml:space="preserve"> „</w:t>
      </w:r>
      <w:proofErr w:type="spellStart"/>
      <w:r>
        <w:t>Sąmatą</w:t>
      </w:r>
      <w:proofErr w:type="spellEnd"/>
      <w:r>
        <w:t xml:space="preserve"> B“ (</w:t>
      </w:r>
      <w:proofErr w:type="spellStart"/>
      <w:r>
        <w:t>didiname</w:t>
      </w:r>
      <w:proofErr w:type="spellEnd"/>
      <w:r>
        <w:t xml:space="preserve"> </w:t>
      </w:r>
      <w:proofErr w:type="spellStart"/>
      <w:r>
        <w:t>priskaitymą</w:t>
      </w:r>
      <w:proofErr w:type="spellEnd"/>
      <w:r>
        <w:t xml:space="preserve">). </w:t>
      </w:r>
    </w:p>
    <w:p w14:paraId="6B31EFD8" w14:textId="77777777" w:rsidR="00031EDE" w:rsidRDefault="00D873B8">
      <w:pPr>
        <w:spacing w:after="50" w:line="259" w:lineRule="auto"/>
        <w:ind w:left="1400" w:firstLine="0"/>
        <w:jc w:val="left"/>
      </w:pPr>
      <w:r>
        <w:t xml:space="preserve"> </w:t>
      </w:r>
    </w:p>
    <w:p w14:paraId="75CB32DE" w14:textId="77777777" w:rsidR="00031EDE" w:rsidRDefault="00D873B8">
      <w:pPr>
        <w:numPr>
          <w:ilvl w:val="0"/>
          <w:numId w:val="5"/>
        </w:numPr>
        <w:spacing w:after="39" w:line="267" w:lineRule="auto"/>
        <w:ind w:hanging="360"/>
      </w:pPr>
      <w:proofErr w:type="spellStart"/>
      <w:r>
        <w:rPr>
          <w:b/>
        </w:rPr>
        <w:t>Darbo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užmokesčio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sąnaudų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koregavimui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sukurkite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buhalterines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pažymas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viena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priskaitymų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neteisinga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sąmata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Sąmatos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A“ </w:t>
      </w:r>
      <w:proofErr w:type="spellStart"/>
      <w:r>
        <w:rPr>
          <w:b/>
        </w:rPr>
        <w:t>koregavimui</w:t>
      </w:r>
      <w:proofErr w:type="spellEnd"/>
      <w:proofErr w:type="gramEnd"/>
      <w:r>
        <w:rPr>
          <w:b/>
        </w:rPr>
        <w:t xml:space="preserve">), o </w:t>
      </w:r>
      <w:proofErr w:type="spellStart"/>
      <w:r>
        <w:rPr>
          <w:b/>
        </w:rPr>
        <w:t>kita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priskaitymui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teisinga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sąmata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Sąmata</w:t>
      </w:r>
      <w:proofErr w:type="spellEnd"/>
      <w:r>
        <w:rPr>
          <w:b/>
        </w:rPr>
        <w:t xml:space="preserve"> B“). </w:t>
      </w:r>
    </w:p>
    <w:p w14:paraId="0F6B632A" w14:textId="77777777" w:rsidR="00031EDE" w:rsidRDefault="00D873B8">
      <w:pPr>
        <w:numPr>
          <w:ilvl w:val="1"/>
          <w:numId w:val="5"/>
        </w:numPr>
        <w:spacing w:after="40"/>
        <w:ind w:hanging="360"/>
      </w:pPr>
      <w:proofErr w:type="spellStart"/>
      <w:r>
        <w:t>Sukurkite</w:t>
      </w:r>
      <w:proofErr w:type="spellEnd"/>
      <w:r>
        <w:t xml:space="preserve"> </w:t>
      </w:r>
      <w:proofErr w:type="spellStart"/>
      <w:r>
        <w:t>pirmą</w:t>
      </w:r>
      <w:proofErr w:type="spellEnd"/>
      <w:r>
        <w:t xml:space="preserve"> </w:t>
      </w:r>
      <w:proofErr w:type="spellStart"/>
      <w:r>
        <w:t>bu</w:t>
      </w:r>
      <w:r>
        <w:t>halterinę</w:t>
      </w:r>
      <w:proofErr w:type="spellEnd"/>
      <w:r>
        <w:t xml:space="preserve"> </w:t>
      </w:r>
      <w:proofErr w:type="spellStart"/>
      <w:r>
        <w:t>pažymą</w:t>
      </w:r>
      <w:proofErr w:type="spellEnd"/>
      <w:r>
        <w:t xml:space="preserve">, jai </w:t>
      </w:r>
      <w:proofErr w:type="spellStart"/>
      <w:r>
        <w:t>priskirkite</w:t>
      </w:r>
      <w:proofErr w:type="spellEnd"/>
      <w:r>
        <w:t xml:space="preserve"> </w:t>
      </w:r>
      <w:proofErr w:type="spellStart"/>
      <w:r>
        <w:t>detalizacijas</w:t>
      </w:r>
      <w:proofErr w:type="spellEnd"/>
      <w:r>
        <w:t xml:space="preserve">: </w:t>
      </w:r>
      <w:proofErr w:type="spellStart"/>
      <w:r>
        <w:t>priskirkite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 („</w:t>
      </w:r>
      <w:proofErr w:type="spellStart"/>
      <w:r>
        <w:t>Sąmata</w:t>
      </w:r>
      <w:proofErr w:type="spellEnd"/>
      <w:r>
        <w:t xml:space="preserve"> </w:t>
      </w:r>
      <w:proofErr w:type="gramStart"/>
      <w:r>
        <w:t>A“</w:t>
      </w:r>
      <w:proofErr w:type="gramEnd"/>
      <w:r>
        <w:t xml:space="preserve">), </w:t>
      </w:r>
      <w:proofErr w:type="spellStart"/>
      <w:r>
        <w:t>papildomai</w:t>
      </w:r>
      <w:proofErr w:type="spellEnd"/>
      <w:r>
        <w:t xml:space="preserve"> </w:t>
      </w:r>
      <w:proofErr w:type="spellStart"/>
      <w:r>
        <w:t>pridėkite</w:t>
      </w:r>
      <w:proofErr w:type="spellEnd"/>
      <w:r>
        <w:t xml:space="preserve"> „</w:t>
      </w:r>
      <w:proofErr w:type="spellStart"/>
      <w:r>
        <w:t>Priskaitymo</w:t>
      </w:r>
      <w:proofErr w:type="spellEnd"/>
      <w:r>
        <w:t>/</w:t>
      </w:r>
      <w:proofErr w:type="spellStart"/>
      <w:r>
        <w:t>atskaitymo</w:t>
      </w:r>
      <w:proofErr w:type="spellEnd"/>
      <w:r>
        <w:t xml:space="preserve">“ </w:t>
      </w:r>
      <w:proofErr w:type="spellStart"/>
      <w:r>
        <w:t>detalizaciją</w:t>
      </w:r>
      <w:proofErr w:type="spellEnd"/>
      <w:r>
        <w:t xml:space="preserve">.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 </w:t>
      </w:r>
      <w:proofErr w:type="spellStart"/>
      <w:r>
        <w:t>tvirtindami</w:t>
      </w:r>
      <w:proofErr w:type="spellEnd"/>
      <w:r>
        <w:t xml:space="preserve"> </w:t>
      </w:r>
      <w:proofErr w:type="spellStart"/>
      <w:r>
        <w:t>pasirenkite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 „DU </w:t>
      </w:r>
      <w:proofErr w:type="spellStart"/>
      <w:proofErr w:type="gramStart"/>
      <w:r>
        <w:t>koregavimas</w:t>
      </w:r>
      <w:proofErr w:type="spellEnd"/>
      <w:r>
        <w:t>“ (</w:t>
      </w:r>
      <w:proofErr w:type="spellStart"/>
      <w:proofErr w:type="gramEnd"/>
      <w:r>
        <w:t>arba</w:t>
      </w:r>
      <w:proofErr w:type="spellEnd"/>
      <w:r>
        <w:t xml:space="preserve"> „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koregavimas</w:t>
      </w:r>
      <w:proofErr w:type="spellEnd"/>
      <w:r>
        <w:t xml:space="preserve">“). </w:t>
      </w:r>
    </w:p>
    <w:p w14:paraId="25C8071E" w14:textId="77777777" w:rsidR="00031EDE" w:rsidRDefault="00D873B8">
      <w:pPr>
        <w:numPr>
          <w:ilvl w:val="1"/>
          <w:numId w:val="5"/>
        </w:numPr>
        <w:spacing w:after="129"/>
        <w:ind w:hanging="360"/>
      </w:pPr>
      <w:proofErr w:type="spellStart"/>
      <w:r>
        <w:t>Sukurkit</w:t>
      </w:r>
      <w:r>
        <w:t>e</w:t>
      </w:r>
      <w:proofErr w:type="spellEnd"/>
      <w:r>
        <w:t xml:space="preserve"> </w:t>
      </w:r>
      <w:proofErr w:type="spellStart"/>
      <w:r>
        <w:t>antrą</w:t>
      </w:r>
      <w:proofErr w:type="spellEnd"/>
      <w:r>
        <w:t xml:space="preserve"> </w:t>
      </w:r>
      <w:proofErr w:type="spellStart"/>
      <w:r>
        <w:t>buhalterinę</w:t>
      </w:r>
      <w:proofErr w:type="spellEnd"/>
      <w:r>
        <w:t xml:space="preserve"> </w:t>
      </w:r>
      <w:proofErr w:type="spellStart"/>
      <w:r>
        <w:t>pažymą</w:t>
      </w:r>
      <w:proofErr w:type="spellEnd"/>
      <w:r>
        <w:t xml:space="preserve">, jai </w:t>
      </w:r>
      <w:proofErr w:type="spellStart"/>
      <w:r>
        <w:t>priskirkite</w:t>
      </w:r>
      <w:proofErr w:type="spellEnd"/>
      <w:r>
        <w:t xml:space="preserve"> </w:t>
      </w:r>
      <w:proofErr w:type="spellStart"/>
      <w:r>
        <w:t>detalizacijas</w:t>
      </w:r>
      <w:proofErr w:type="spellEnd"/>
      <w:r>
        <w:t xml:space="preserve">: </w:t>
      </w:r>
      <w:proofErr w:type="spellStart"/>
      <w:r>
        <w:t>priskirkite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 („</w:t>
      </w:r>
      <w:proofErr w:type="spellStart"/>
      <w:r>
        <w:t>Sąmata</w:t>
      </w:r>
      <w:proofErr w:type="spellEnd"/>
      <w:r>
        <w:t xml:space="preserve"> </w:t>
      </w:r>
      <w:proofErr w:type="gramStart"/>
      <w:r>
        <w:t>B“</w:t>
      </w:r>
      <w:proofErr w:type="gramEnd"/>
      <w:r>
        <w:t xml:space="preserve">), </w:t>
      </w:r>
      <w:proofErr w:type="spellStart"/>
      <w:r>
        <w:t>papildomai</w:t>
      </w:r>
      <w:proofErr w:type="spellEnd"/>
      <w:r>
        <w:t xml:space="preserve"> </w:t>
      </w:r>
      <w:proofErr w:type="spellStart"/>
      <w:r>
        <w:t>pridėkite</w:t>
      </w:r>
      <w:proofErr w:type="spellEnd"/>
      <w:r>
        <w:t xml:space="preserve"> „</w:t>
      </w:r>
      <w:proofErr w:type="spellStart"/>
      <w:r>
        <w:t>Priskaitymo</w:t>
      </w:r>
      <w:proofErr w:type="spellEnd"/>
      <w:r>
        <w:t>/</w:t>
      </w:r>
      <w:proofErr w:type="spellStart"/>
      <w:r>
        <w:t>atskaitymo</w:t>
      </w:r>
      <w:proofErr w:type="spellEnd"/>
      <w:r>
        <w:t xml:space="preserve">“ </w:t>
      </w:r>
      <w:proofErr w:type="spellStart"/>
      <w:r>
        <w:t>detalizaciją</w:t>
      </w:r>
      <w:proofErr w:type="spellEnd"/>
      <w:r>
        <w:t xml:space="preserve">.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 </w:t>
      </w:r>
      <w:proofErr w:type="spellStart"/>
      <w:r>
        <w:t>tvirtindami</w:t>
      </w:r>
      <w:proofErr w:type="spellEnd"/>
      <w:r>
        <w:t xml:space="preserve"> </w:t>
      </w:r>
      <w:proofErr w:type="spellStart"/>
      <w:r>
        <w:t>pasirenkite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 „DU </w:t>
      </w:r>
      <w:proofErr w:type="spellStart"/>
      <w:r>
        <w:t>atstatymų</w:t>
      </w:r>
      <w:proofErr w:type="spellEnd"/>
      <w:r>
        <w:t xml:space="preserve"> </w:t>
      </w:r>
      <w:proofErr w:type="spellStart"/>
      <w:proofErr w:type="gramStart"/>
      <w:r>
        <w:t>priskaitymas</w:t>
      </w:r>
      <w:proofErr w:type="spellEnd"/>
      <w:r>
        <w:t>“ (</w:t>
      </w:r>
      <w:proofErr w:type="spellStart"/>
      <w:proofErr w:type="gramEnd"/>
      <w:r>
        <w:t>arba</w:t>
      </w:r>
      <w:proofErr w:type="spellEnd"/>
      <w:r>
        <w:t xml:space="preserve"> „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kor</w:t>
      </w:r>
      <w:r>
        <w:t>egavimo</w:t>
      </w:r>
      <w:proofErr w:type="spellEnd"/>
      <w:r>
        <w:t xml:space="preserve"> </w:t>
      </w:r>
      <w:proofErr w:type="spellStart"/>
      <w:r>
        <w:t>priskaitymas</w:t>
      </w:r>
      <w:proofErr w:type="spellEnd"/>
      <w:r>
        <w:t xml:space="preserve">“). </w:t>
      </w:r>
    </w:p>
    <w:p w14:paraId="05C5E0F8" w14:textId="77777777" w:rsidR="00031EDE" w:rsidRDefault="00D873B8">
      <w:pPr>
        <w:spacing w:after="158" w:line="259" w:lineRule="auto"/>
        <w:ind w:left="680" w:firstLine="0"/>
        <w:jc w:val="left"/>
      </w:pPr>
      <w:r>
        <w:t xml:space="preserve"> </w:t>
      </w:r>
    </w:p>
    <w:p w14:paraId="1354401F" w14:textId="77777777" w:rsidR="00031EDE" w:rsidRDefault="00D873B8">
      <w:pPr>
        <w:spacing w:after="0" w:line="259" w:lineRule="auto"/>
        <w:ind w:left="680" w:firstLine="0"/>
        <w:jc w:val="left"/>
      </w:pPr>
      <w:r>
        <w:t xml:space="preserve"> </w:t>
      </w:r>
    </w:p>
    <w:sectPr w:rsidR="00031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2" w:right="561" w:bottom="1234" w:left="1022" w:header="1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A095" w14:textId="77777777" w:rsidR="00D873B8" w:rsidRDefault="00D873B8">
      <w:pPr>
        <w:spacing w:after="0" w:line="240" w:lineRule="auto"/>
      </w:pPr>
      <w:r>
        <w:separator/>
      </w:r>
    </w:p>
  </w:endnote>
  <w:endnote w:type="continuationSeparator" w:id="0">
    <w:p w14:paraId="63600B86" w14:textId="77777777" w:rsidR="00D873B8" w:rsidRDefault="00D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D5A4" w14:textId="77777777" w:rsidR="00031EDE" w:rsidRDefault="00D873B8">
    <w:pPr>
      <w:tabs>
        <w:tab w:val="center" w:pos="1265"/>
        <w:tab w:val="center" w:pos="5500"/>
        <w:tab w:val="right" w:pos="10323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337739" wp14:editId="7E718B50">
              <wp:simplePos x="0" y="0"/>
              <wp:positionH relativeFrom="page">
                <wp:posOffset>0</wp:posOffset>
              </wp:positionH>
              <wp:positionV relativeFrom="page">
                <wp:posOffset>10056876</wp:posOffset>
              </wp:positionV>
              <wp:extent cx="7543800" cy="9144"/>
              <wp:effectExtent l="0" t="0" r="0" b="0"/>
              <wp:wrapSquare wrapText="bothSides"/>
              <wp:docPr id="4493" name="Group 4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144"/>
                        <a:chOff x="0" y="0"/>
                        <a:chExt cx="7543800" cy="9144"/>
                      </a:xfrm>
                    </wpg:grpSpPr>
                    <wps:wsp>
                      <wps:cNvPr id="4494" name="Shape 4494"/>
                      <wps:cNvSpPr/>
                      <wps:spPr>
                        <a:xfrm>
                          <a:off x="0" y="0"/>
                          <a:ext cx="7543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</a:path>
                          </a:pathLst>
                        </a:custGeom>
                        <a:ln w="9144" cap="flat">
                          <a:custDash>
                            <a:ds d="288000" sp="21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BF9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93" style="width:594pt;height:0.72pt;position:absolute;mso-position-horizontal-relative:page;mso-position-horizontal:absolute;margin-left:0pt;mso-position-vertical-relative:page;margin-top:791.88pt;" coordsize="75438,91">
              <v:shape id="Shape 4494" style="position:absolute;width:75438;height:0;left:0;top:0;" coordsize="7543800,0" path="m0,0l7543800,0">
                <v:stroke weight="0.72pt" endcap="flat" dashstyle="4 3" joinstyle="miter" miterlimit="10" on="true" color="#bf9000"/>
                <v:fill on="false" color="#000000" opacity="0"/>
              </v:shape>
              <w10:wrap type="square"/>
            </v:group>
          </w:pict>
        </mc:Fallback>
      </mc:AlternateContent>
    </w:r>
    <w:r>
      <w:tab/>
    </w:r>
    <w:r>
      <w:t xml:space="preserve">// SVK – BDO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5113" w14:textId="5DC72C89" w:rsidR="00031EDE" w:rsidRDefault="00D873B8">
    <w:pPr>
      <w:tabs>
        <w:tab w:val="center" w:pos="1265"/>
        <w:tab w:val="center" w:pos="5500"/>
        <w:tab w:val="right" w:pos="10323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FA7273" wp14:editId="77057F50">
              <wp:simplePos x="0" y="0"/>
              <wp:positionH relativeFrom="page">
                <wp:posOffset>0</wp:posOffset>
              </wp:positionH>
              <wp:positionV relativeFrom="page">
                <wp:posOffset>10056876</wp:posOffset>
              </wp:positionV>
              <wp:extent cx="7543800" cy="9144"/>
              <wp:effectExtent l="0" t="0" r="0" b="0"/>
              <wp:wrapSquare wrapText="bothSides"/>
              <wp:docPr id="4462" name="Group 4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144"/>
                        <a:chOff x="0" y="0"/>
                        <a:chExt cx="7543800" cy="9144"/>
                      </a:xfrm>
                    </wpg:grpSpPr>
                    <wps:wsp>
                      <wps:cNvPr id="4463" name="Shape 4463"/>
                      <wps:cNvSpPr/>
                      <wps:spPr>
                        <a:xfrm>
                          <a:off x="0" y="0"/>
                          <a:ext cx="7543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</a:path>
                          </a:pathLst>
                        </a:custGeom>
                        <a:ln w="9144" cap="flat">
                          <a:custDash>
                            <a:ds d="288000" sp="21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BF9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62" style="width:594pt;height:0.72pt;position:absolute;mso-position-horizontal-relative:page;mso-position-horizontal:absolute;margin-left:0pt;mso-position-vertical-relative:page;margin-top:791.88pt;" coordsize="75438,91">
              <v:shape id="Shape 4463" style="position:absolute;width:75438;height:0;left:0;top:0;" coordsize="7543800,0" path="m0,0l7543800,0">
                <v:stroke weight="0.72pt" endcap="flat" dashstyle="4 3" joinstyle="miter" miterlimit="10" on="true" color="#bf9000"/>
                <v:fill on="false" color="#000000" opacity="0"/>
              </v:shape>
              <w10:wrap type="square"/>
            </v:group>
          </w:pict>
        </mc:Fallback>
      </mc:AlternateContent>
    </w:r>
    <w:r>
      <w:tab/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F1CD" w14:textId="77777777" w:rsidR="00031EDE" w:rsidRDefault="00D873B8">
    <w:pPr>
      <w:tabs>
        <w:tab w:val="center" w:pos="1265"/>
        <w:tab w:val="center" w:pos="5500"/>
        <w:tab w:val="right" w:pos="10323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F22297" wp14:editId="6C25BE83">
              <wp:simplePos x="0" y="0"/>
              <wp:positionH relativeFrom="page">
                <wp:posOffset>0</wp:posOffset>
              </wp:positionH>
              <wp:positionV relativeFrom="page">
                <wp:posOffset>10056876</wp:posOffset>
              </wp:positionV>
              <wp:extent cx="7543800" cy="9144"/>
              <wp:effectExtent l="0" t="0" r="0" b="0"/>
              <wp:wrapSquare wrapText="bothSides"/>
              <wp:docPr id="4431" name="Group 4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144"/>
                        <a:chOff x="0" y="0"/>
                        <a:chExt cx="7543800" cy="9144"/>
                      </a:xfrm>
                    </wpg:grpSpPr>
                    <wps:wsp>
                      <wps:cNvPr id="4432" name="Shape 4432"/>
                      <wps:cNvSpPr/>
                      <wps:spPr>
                        <a:xfrm>
                          <a:off x="0" y="0"/>
                          <a:ext cx="7543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0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</a:path>
                          </a:pathLst>
                        </a:custGeom>
                        <a:ln w="9144" cap="flat">
                          <a:custDash>
                            <a:ds d="288000" sp="21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BF9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1" style="width:594pt;height:0.72pt;position:absolute;mso-position-horizontal-relative:page;mso-position-horizontal:absolute;margin-left:0pt;mso-position-vertical-relative:page;margin-top:791.88pt;" coordsize="75438,91">
              <v:shape id="Shape 4432" style="position:absolute;width:75438;height:0;left:0;top:0;" coordsize="7543800,0" path="m0,0l7543800,0">
                <v:stroke weight="0.72pt" endcap="flat" dashstyle="4 3" joinstyle="miter" miterlimit="10" on="true" color="#bf9000"/>
                <v:fill on="false" color="#000000" opacity="0"/>
              </v:shape>
              <w10:wrap type="square"/>
            </v:group>
          </w:pict>
        </mc:Fallback>
      </mc:AlternateContent>
    </w:r>
    <w:r>
      <w:tab/>
    </w:r>
    <w:r>
      <w:t xml:space="preserve">// SVK – BDO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BD2F" w14:textId="77777777" w:rsidR="00D873B8" w:rsidRDefault="00D873B8">
      <w:pPr>
        <w:spacing w:after="0" w:line="240" w:lineRule="auto"/>
      </w:pPr>
      <w:r>
        <w:separator/>
      </w:r>
    </w:p>
  </w:footnote>
  <w:footnote w:type="continuationSeparator" w:id="0">
    <w:p w14:paraId="1C3C91DA" w14:textId="77777777" w:rsidR="00D873B8" w:rsidRDefault="00D8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BC3E" w14:textId="77777777" w:rsidR="00031EDE" w:rsidRDefault="00D873B8">
    <w:pPr>
      <w:shd w:val="clear" w:color="auto" w:fill="F2F2F2"/>
      <w:spacing w:after="0" w:line="259" w:lineRule="auto"/>
      <w:ind w:left="-29" w:firstLine="0"/>
      <w:jc w:val="left"/>
    </w:pPr>
    <w:r>
      <w:rPr>
        <w:color w:val="006666"/>
        <w:sz w:val="20"/>
      </w:rPr>
      <w:t xml:space="preserve">FVAS OPERACIJŲ INSTRUKCIJA </w:t>
    </w:r>
  </w:p>
  <w:p w14:paraId="12AF54A4" w14:textId="77777777" w:rsidR="00031EDE" w:rsidRDefault="00D873B8">
    <w:pPr>
      <w:shd w:val="clear" w:color="auto" w:fill="F2F2F2"/>
      <w:spacing w:after="0" w:line="259" w:lineRule="auto"/>
      <w:ind w:left="680" w:firstLine="0"/>
      <w:jc w:val="left"/>
    </w:pPr>
    <w:r>
      <w:t xml:space="preserve"> </w:t>
    </w:r>
  </w:p>
  <w:p w14:paraId="6B4EE14E" w14:textId="77777777" w:rsidR="00031EDE" w:rsidRDefault="00D873B8">
    <w:pPr>
      <w:shd w:val="clear" w:color="auto" w:fill="F2F2F2"/>
      <w:spacing w:after="0" w:line="259" w:lineRule="auto"/>
      <w:ind w:left="68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0EF7" w14:textId="005646C5" w:rsidR="00031EDE" w:rsidRDefault="00FD4965" w:rsidP="00FD4965">
    <w:pPr>
      <w:shd w:val="clear" w:color="auto" w:fill="F2F2F2"/>
      <w:spacing w:after="0" w:line="259" w:lineRule="auto"/>
      <w:ind w:left="680" w:firstLine="0"/>
      <w:jc w:val="right"/>
    </w:pPr>
    <w:r>
      <w:rPr>
        <w:noProof/>
        <w:lang w:val="lt-LT" w:eastAsia="lt-LT"/>
      </w:rPr>
      <w:drawing>
        <wp:inline distT="0" distB="0" distL="0" distR="0" wp14:anchorId="115F3EEE" wp14:editId="0DFDD9D3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FAFDC2" w14:textId="77777777" w:rsidR="00031EDE" w:rsidRDefault="00D873B8">
    <w:pPr>
      <w:shd w:val="clear" w:color="auto" w:fill="F2F2F2"/>
      <w:spacing w:after="0" w:line="259" w:lineRule="auto"/>
      <w:ind w:left="68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AEF9" w14:textId="77777777" w:rsidR="00031EDE" w:rsidRDefault="00D873B8">
    <w:pPr>
      <w:shd w:val="clear" w:color="auto" w:fill="F2F2F2"/>
      <w:spacing w:after="0" w:line="259" w:lineRule="auto"/>
      <w:ind w:left="-29" w:firstLine="0"/>
      <w:jc w:val="left"/>
    </w:pPr>
    <w:r>
      <w:rPr>
        <w:color w:val="006666"/>
        <w:sz w:val="20"/>
      </w:rPr>
      <w:t xml:space="preserve">FVAS OPERACIJŲ INSTRUKCIJA </w:t>
    </w:r>
  </w:p>
  <w:p w14:paraId="0F135C1A" w14:textId="77777777" w:rsidR="00031EDE" w:rsidRDefault="00D873B8">
    <w:pPr>
      <w:shd w:val="clear" w:color="auto" w:fill="F2F2F2"/>
      <w:spacing w:after="0" w:line="259" w:lineRule="auto"/>
      <w:ind w:left="680" w:firstLine="0"/>
      <w:jc w:val="left"/>
    </w:pPr>
    <w:r>
      <w:t xml:space="preserve"> </w:t>
    </w:r>
  </w:p>
  <w:p w14:paraId="74C11C85" w14:textId="77777777" w:rsidR="00031EDE" w:rsidRDefault="00D873B8">
    <w:pPr>
      <w:shd w:val="clear" w:color="auto" w:fill="F2F2F2"/>
      <w:spacing w:after="0" w:line="259" w:lineRule="auto"/>
      <w:ind w:left="68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6FDF"/>
    <w:multiLevelType w:val="hybridMultilevel"/>
    <w:tmpl w:val="342243AE"/>
    <w:lvl w:ilvl="0" w:tplc="CB7CEF8E">
      <w:start w:val="1"/>
      <w:numFmt w:val="bullet"/>
      <w:lvlText w:val="•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ECD3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C21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83F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E4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852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0CB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6EA7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874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6065A"/>
    <w:multiLevelType w:val="hybridMultilevel"/>
    <w:tmpl w:val="A4527032"/>
    <w:lvl w:ilvl="0" w:tplc="C9C64C44">
      <w:start w:val="1"/>
      <w:numFmt w:val="decimal"/>
      <w:lvlText w:val="%1."/>
      <w:lvlJc w:val="left"/>
      <w:pPr>
        <w:ind w:left="1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A1302">
      <w:start w:val="1"/>
      <w:numFmt w:val="lowerLetter"/>
      <w:lvlText w:val="%2.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AAE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0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0F5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0A4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671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6BD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AD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07330"/>
    <w:multiLevelType w:val="hybridMultilevel"/>
    <w:tmpl w:val="854C4C90"/>
    <w:lvl w:ilvl="0" w:tplc="BA781A6E">
      <w:start w:val="1"/>
      <w:numFmt w:val="decimal"/>
      <w:lvlText w:val="%1."/>
      <w:lvlJc w:val="left"/>
      <w:pPr>
        <w:ind w:left="1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C5E2C">
      <w:start w:val="1"/>
      <w:numFmt w:val="lowerLetter"/>
      <w:lvlText w:val="%2.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D007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E87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856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669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CF1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6E5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0D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A0DF0"/>
    <w:multiLevelType w:val="hybridMultilevel"/>
    <w:tmpl w:val="C152E3C8"/>
    <w:lvl w:ilvl="0" w:tplc="2EAC0714">
      <w:start w:val="1"/>
      <w:numFmt w:val="bullet"/>
      <w:lvlText w:val="•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24EEC">
      <w:start w:val="1"/>
      <w:numFmt w:val="bullet"/>
      <w:lvlText w:val="o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E8ACC">
      <w:start w:val="1"/>
      <w:numFmt w:val="bullet"/>
      <w:lvlText w:val="▪"/>
      <w:lvlJc w:val="left"/>
      <w:pPr>
        <w:ind w:left="2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ABE54">
      <w:start w:val="1"/>
      <w:numFmt w:val="bullet"/>
      <w:lvlText w:val="•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2C3C0A">
      <w:start w:val="1"/>
      <w:numFmt w:val="bullet"/>
      <w:lvlText w:val="o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42A72">
      <w:start w:val="1"/>
      <w:numFmt w:val="bullet"/>
      <w:lvlText w:val="▪"/>
      <w:lvlJc w:val="left"/>
      <w:pPr>
        <w:ind w:left="5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432F4">
      <w:start w:val="1"/>
      <w:numFmt w:val="bullet"/>
      <w:lvlText w:val="•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8B140">
      <w:start w:val="1"/>
      <w:numFmt w:val="bullet"/>
      <w:lvlText w:val="o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46292">
      <w:start w:val="1"/>
      <w:numFmt w:val="bullet"/>
      <w:lvlText w:val="▪"/>
      <w:lvlJc w:val="left"/>
      <w:pPr>
        <w:ind w:left="7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04C9F"/>
    <w:multiLevelType w:val="hybridMultilevel"/>
    <w:tmpl w:val="74404358"/>
    <w:lvl w:ilvl="0" w:tplc="E46ED532">
      <w:start w:val="1"/>
      <w:numFmt w:val="decimal"/>
      <w:lvlText w:val="%1."/>
      <w:lvlJc w:val="left"/>
      <w:pPr>
        <w:ind w:left="1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20C92">
      <w:start w:val="1"/>
      <w:numFmt w:val="lowerLetter"/>
      <w:lvlText w:val="%2"/>
      <w:lvlJc w:val="left"/>
      <w:pPr>
        <w:ind w:left="19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00E32">
      <w:start w:val="1"/>
      <w:numFmt w:val="lowerRoman"/>
      <w:lvlText w:val="%3"/>
      <w:lvlJc w:val="left"/>
      <w:pPr>
        <w:ind w:left="26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EF800">
      <w:start w:val="1"/>
      <w:numFmt w:val="decimal"/>
      <w:lvlText w:val="%4"/>
      <w:lvlJc w:val="left"/>
      <w:pPr>
        <w:ind w:left="33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03614">
      <w:start w:val="1"/>
      <w:numFmt w:val="lowerLetter"/>
      <w:lvlText w:val="%5"/>
      <w:lvlJc w:val="left"/>
      <w:pPr>
        <w:ind w:left="4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E8286">
      <w:start w:val="1"/>
      <w:numFmt w:val="lowerRoman"/>
      <w:lvlText w:val="%6"/>
      <w:lvlJc w:val="left"/>
      <w:pPr>
        <w:ind w:left="48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4182E">
      <w:start w:val="1"/>
      <w:numFmt w:val="decimal"/>
      <w:lvlText w:val="%7"/>
      <w:lvlJc w:val="left"/>
      <w:pPr>
        <w:ind w:left="55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C291AA">
      <w:start w:val="1"/>
      <w:numFmt w:val="lowerLetter"/>
      <w:lvlText w:val="%8"/>
      <w:lvlJc w:val="left"/>
      <w:pPr>
        <w:ind w:left="6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037A0">
      <w:start w:val="1"/>
      <w:numFmt w:val="lowerRoman"/>
      <w:lvlText w:val="%9"/>
      <w:lvlJc w:val="left"/>
      <w:pPr>
        <w:ind w:left="69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DE"/>
    <w:rsid w:val="00031EDE"/>
    <w:rsid w:val="00D873B8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38725"/>
  <w15:docId w15:val="{1180D715-17CA-464A-BCF7-832CB3C9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6" w:lineRule="auto"/>
      <w:ind w:left="69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0"/>
      <w:ind w:left="1050" w:hanging="10"/>
      <w:outlineLvl w:val="0"/>
    </w:pPr>
    <w:rPr>
      <w:rFonts w:ascii="Calibri" w:eastAsia="Calibri" w:hAnsi="Calibri" w:cs="Calibri"/>
      <w:color w:val="00666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666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Goda</cp:lastModifiedBy>
  <cp:revision>2</cp:revision>
  <dcterms:created xsi:type="dcterms:W3CDTF">2018-08-30T12:11:00Z</dcterms:created>
  <dcterms:modified xsi:type="dcterms:W3CDTF">2018-08-30T12:11:00Z</dcterms:modified>
</cp:coreProperties>
</file>